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BD95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bookmarkStart w:id="0" w:name="_GoBack"/>
      <w:bookmarkEnd w:id="0"/>
    </w:p>
    <w:p w14:paraId="4079B78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2026年全省春播作物品种布局指导意见</w:t>
      </w:r>
    </w:p>
    <w:p w14:paraId="4328F9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p>
    <w:p w14:paraId="024481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14:paraId="4204F56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hAnsi="仿宋_GB2312" w:eastAsia="仿宋_GB2312" w:cs="Times New Roman"/>
          <w:sz w:val="32"/>
          <w:szCs w:val="32"/>
        </w:rPr>
      </w:pPr>
      <w:r>
        <w:rPr>
          <w:rFonts w:hint="eastAsia" w:hAnsi="仿宋_GB2312" w:eastAsia="仿宋_GB2312" w:cs="Times New Roman"/>
          <w:sz w:val="32"/>
          <w:szCs w:val="32"/>
        </w:rPr>
        <w:t>坚持以习近平新时代中国特色社会主义思想为指导，深入贯彻习近平总书记关于保障粮食安全的重要指示批示精神，全面落实中央和省委农村工作及农业农村局长会精神，始终把粮食和重要农产品稳定安全供给作为头等大事，统筹抓好春播作物生产，以促进粮油作物稳面积、提单产、优结构、增效益为目标，全力做好春播作物品种布局，优化品种结构和区域布局，促进优良品种向优势区域集中，加快新品种更新换代步伐，巩固提升大豆和油料作物产能，促进良田、良种、良法、良机集成增效，</w:t>
      </w:r>
      <w:r>
        <w:rPr>
          <w:rFonts w:hAnsi="仿宋_GB2312" w:eastAsia="仿宋_GB2312" w:cs="Times New Roman"/>
          <w:sz w:val="32"/>
          <w:szCs w:val="32"/>
        </w:rPr>
        <w:t>推</w:t>
      </w:r>
      <w:r>
        <w:rPr>
          <w:rFonts w:hint="eastAsia" w:hAnsi="仿宋_GB2312" w:eastAsia="仿宋_GB2312" w:cs="Times New Roman"/>
          <w:sz w:val="32"/>
          <w:szCs w:val="32"/>
        </w:rPr>
        <w:t>动</w:t>
      </w:r>
      <w:r>
        <w:rPr>
          <w:rFonts w:hAnsi="仿宋_GB2312" w:eastAsia="仿宋_GB2312" w:cs="Times New Roman"/>
          <w:sz w:val="32"/>
          <w:szCs w:val="32"/>
        </w:rPr>
        <w:t>粮油作物大面积提单产</w:t>
      </w:r>
      <w:r>
        <w:rPr>
          <w:rFonts w:hint="eastAsia" w:hAnsi="仿宋_GB2312" w:eastAsia="仿宋_GB2312" w:cs="Times New Roman"/>
          <w:sz w:val="32"/>
          <w:szCs w:val="32"/>
        </w:rPr>
        <w:t>，保障全省粮食安全。</w:t>
      </w:r>
    </w:p>
    <w:p w14:paraId="6CC2EB8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二、布局原则</w:t>
      </w:r>
    </w:p>
    <w:p w14:paraId="1B3F18E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eastAsia="仿宋_GB2312" w:cs="Times New Roman"/>
          <w:sz w:val="32"/>
          <w:szCs w:val="32"/>
        </w:rPr>
      </w:pPr>
      <w:r>
        <w:rPr>
          <w:rFonts w:eastAsia="楷体_GB2312" w:cs="Times New Roman"/>
          <w:b/>
          <w:bCs/>
          <w:sz w:val="32"/>
          <w:szCs w:val="32"/>
        </w:rPr>
        <w:t>1.</w:t>
      </w:r>
      <w:r>
        <w:rPr>
          <w:rFonts w:hint="eastAsia" w:hAnsi="楷体_GB2312" w:eastAsia="楷体_GB2312" w:cs="Times New Roman"/>
          <w:b/>
          <w:bCs/>
          <w:sz w:val="32"/>
          <w:szCs w:val="32"/>
        </w:rPr>
        <w:t>科学合</w:t>
      </w:r>
      <w:r>
        <w:rPr>
          <w:rFonts w:hint="eastAsia" w:hAnsi="楷体_GB2312" w:eastAsia="楷体_GB2312" w:cs="Times New Roman"/>
          <w:b/>
          <w:bCs/>
          <w:sz w:val="32"/>
          <w:szCs w:val="32"/>
          <w:lang w:val="en-US" w:eastAsia="zh-CN"/>
        </w:rPr>
        <w:t>理</w:t>
      </w:r>
      <w:r>
        <w:rPr>
          <w:rFonts w:hint="eastAsia" w:hAnsi="楷体_GB2312" w:eastAsia="楷体_GB2312" w:cs="Times New Roman"/>
          <w:b/>
          <w:bCs/>
          <w:sz w:val="32"/>
          <w:szCs w:val="32"/>
        </w:rPr>
        <w:t>与区域适配原则。</w:t>
      </w:r>
      <w:r>
        <w:rPr>
          <w:rFonts w:hint="eastAsia" w:eastAsia="仿宋_GB2312" w:cs="Times New Roman"/>
          <w:sz w:val="32"/>
          <w:szCs w:val="32"/>
        </w:rPr>
        <w:t>严格遵循品种合法性要求，选择通过国家和省级审定（登记）或引种备案的品种，且种植区域符合品种审定公告或登记备案中明确适宜区域推广的品种，严禁推广未审定（登记）或已退出品种。同时，结合不同区域的自然生态条件，依据品种特征特性科学划分优势产区，确保品种与生态环境精准适配。</w:t>
      </w:r>
    </w:p>
    <w:p w14:paraId="1006ABF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eastAsia="仿宋_GB2312" w:cs="Times New Roman"/>
          <w:sz w:val="32"/>
          <w:szCs w:val="32"/>
        </w:rPr>
      </w:pPr>
      <w:r>
        <w:rPr>
          <w:rFonts w:hint="eastAsia" w:hAnsi="楷体_GB2312" w:eastAsia="楷体_GB2312" w:cs="Times New Roman"/>
          <w:b/>
          <w:bCs/>
          <w:sz w:val="32"/>
          <w:szCs w:val="32"/>
        </w:rPr>
        <w:t>2.科学选种与合理搭配原则。</w:t>
      </w:r>
      <w:r>
        <w:rPr>
          <w:rFonts w:hint="eastAsia" w:eastAsia="仿宋_GB2312" w:cs="Times New Roman"/>
          <w:sz w:val="32"/>
          <w:szCs w:val="32"/>
        </w:rPr>
        <w:t>结合生态区域特点，优先选用高产优质多抗的品种，构建“示范品种+搭配品种+主导品种”体系，示范品种以近两年新审定（登记）、抗性强、产量高、适宜本生态区域种植为主</w:t>
      </w:r>
      <w:r>
        <w:rPr>
          <w:rFonts w:hint="eastAsia" w:eastAsia="仿宋_GB2312" w:cs="Times New Roman"/>
          <w:sz w:val="32"/>
          <w:szCs w:val="32"/>
          <w:lang w:eastAsia="zh-CN"/>
        </w:rPr>
        <w:t>；</w:t>
      </w:r>
      <w:r>
        <w:rPr>
          <w:rFonts w:hint="eastAsia" w:eastAsia="仿宋_GB2312" w:cs="Times New Roman"/>
          <w:sz w:val="32"/>
          <w:szCs w:val="32"/>
        </w:rPr>
        <w:t>搭配品种以新品种试验筛选和展示示范结果为依据，结合农民意愿及市场需求，选择性状突出、丰产潜力好的品种为主；主导品种以近两年搭配品种中增产潜力大、符合市场需求、稳产高产、优质抗逆的品种为主。</w:t>
      </w:r>
    </w:p>
    <w:p w14:paraId="1300C17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eastAsia="仿宋_GB2312" w:cs="Times New Roman"/>
          <w:sz w:val="32"/>
          <w:szCs w:val="32"/>
        </w:rPr>
      </w:pPr>
      <w:r>
        <w:rPr>
          <w:rFonts w:hint="eastAsia" w:hAnsi="楷体_GB2312" w:eastAsia="楷体_GB2312" w:cs="Times New Roman"/>
          <w:b/>
          <w:bCs/>
          <w:sz w:val="32"/>
          <w:szCs w:val="32"/>
        </w:rPr>
        <w:t>3.风险防控与良法配套原则。</w:t>
      </w:r>
      <w:r>
        <w:rPr>
          <w:rFonts w:hint="eastAsia" w:eastAsia="仿宋_GB2312" w:cs="Times New Roman"/>
          <w:sz w:val="32"/>
          <w:szCs w:val="32"/>
        </w:rPr>
        <w:t>注重品种抗逆性提升，针对区域灾害特点布局抗旱、抗寒、抗病、抗倒伏等抗逆品种，降低自然风险。结合品种特性配套推广适期晚播、精量播种、精准施肥、一喷三防、病虫害绿色防控、全程机械化等高产高效技术，推动农机农艺融合、良种良法良田良机配套，充分挖掘品种增产潜力，增强应对自然灾害和市场波动的综合能力。</w:t>
      </w:r>
    </w:p>
    <w:p w14:paraId="4DC92B2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三、布局意见</w:t>
      </w:r>
    </w:p>
    <w:p w14:paraId="7B4FC8DA">
      <w:pPr>
        <w:pStyle w:val="13"/>
        <w:spacing w:line="62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Cs/>
          <w:sz w:val="32"/>
          <w:szCs w:val="32"/>
        </w:rPr>
        <w:t>1.</w:t>
      </w:r>
      <w:r>
        <w:rPr>
          <w:rFonts w:hint="eastAsia" w:ascii="Times New Roman" w:hAnsi="仿宋_GB2312" w:eastAsia="仿宋_GB2312" w:cs="Times New Roman"/>
          <w:b/>
          <w:bCs/>
          <w:sz w:val="32"/>
          <w:szCs w:val="32"/>
        </w:rPr>
        <w:t>春小麦：</w:t>
      </w:r>
      <w:r>
        <w:rPr>
          <w:rFonts w:hint="eastAsia" w:ascii="Times New Roman" w:hAnsi="仿宋_GB2312" w:eastAsia="仿宋_GB2312" w:cs="Times New Roman"/>
          <w:sz w:val="32"/>
          <w:szCs w:val="32"/>
        </w:rPr>
        <w:t>重点推广丰产稳产、抗旱、抗寒、抗病、抗倒伏、适宜机械化的中、强筋品种。河西灌区重点推广</w:t>
      </w:r>
      <w:r>
        <w:rPr>
          <w:rFonts w:hint="eastAsia" w:ascii="Times New Roman" w:hAnsi="仿宋_GB2312" w:eastAsia="仿宋_GB2312" w:cs="Times New Roman"/>
          <w:kern w:val="0"/>
          <w:sz w:val="32"/>
          <w:szCs w:val="32"/>
        </w:rPr>
        <w:t>陇春41号、陇春42号、酒春10号、酒春12号、宁春58号、陇春44号、甘育8号、甘育9号、甘春33号</w:t>
      </w:r>
      <w:r>
        <w:rPr>
          <w:rFonts w:hint="eastAsia" w:ascii="Times New Roman" w:hAnsi="仿宋_GB2312" w:eastAsia="仿宋_GB2312" w:cs="Times New Roman"/>
          <w:sz w:val="32"/>
          <w:szCs w:val="32"/>
        </w:rPr>
        <w:t>等抗旱节水、高产稳产的优质中强筋小麦品种；中部灌区重点推广</w:t>
      </w:r>
      <w:r>
        <w:rPr>
          <w:rFonts w:hint="eastAsia" w:ascii="Times New Roman" w:hAnsi="仿宋_GB2312" w:eastAsia="仿宋_GB2312" w:cs="Times New Roman"/>
          <w:kern w:val="0"/>
          <w:sz w:val="32"/>
          <w:szCs w:val="32"/>
        </w:rPr>
        <w:t>临麦37号、银春10号、定丰19号、陇春39号、陇春36号、临麦38号、定丰18号、兰航选L622</w:t>
      </w:r>
      <w:r>
        <w:rPr>
          <w:rFonts w:hint="eastAsia" w:ascii="Times New Roman" w:hAnsi="仿宋_GB2312" w:eastAsia="仿宋_GB2312" w:cs="Times New Roman"/>
          <w:sz w:val="32"/>
          <w:szCs w:val="32"/>
        </w:rPr>
        <w:t>等抗旱丰产、抗寒、抗倒伏、抗病性强的高产优质中筋小麦品种；中部旱作区重点推广</w:t>
      </w:r>
      <w:r>
        <w:rPr>
          <w:rFonts w:hint="eastAsia" w:ascii="Times New Roman" w:hAnsi="仿宋_GB2312" w:eastAsia="仿宋_GB2312" w:cs="Times New Roman"/>
          <w:kern w:val="0"/>
          <w:sz w:val="32"/>
          <w:szCs w:val="32"/>
        </w:rPr>
        <w:t>银春11号、定西49号、陇春35号、会宁20号、定西48号</w:t>
      </w:r>
      <w:r>
        <w:rPr>
          <w:rFonts w:hint="eastAsia" w:ascii="Times New Roman" w:hAnsi="仿宋_GB2312" w:eastAsia="仿宋_GB2312" w:cs="Times New Roman"/>
          <w:sz w:val="32"/>
          <w:szCs w:val="32"/>
        </w:rPr>
        <w:t>等抗旱稳产、抗寒、抗病的优质中强筋小麦品种（详见附表</w:t>
      </w:r>
      <w:r>
        <w:rPr>
          <w:rFonts w:ascii="Times New Roman" w:hAnsi="Times New Roman" w:eastAsia="仿宋_GB2312" w:cs="Times New Roman"/>
          <w:sz w:val="32"/>
          <w:szCs w:val="32"/>
        </w:rPr>
        <w:t>1</w:t>
      </w:r>
      <w:r>
        <w:rPr>
          <w:rFonts w:hint="eastAsia" w:ascii="Times New Roman" w:hAnsi="仿宋_GB2312" w:eastAsia="仿宋_GB2312" w:cs="Times New Roman"/>
          <w:sz w:val="32"/>
          <w:szCs w:val="32"/>
        </w:rPr>
        <w:t>）。</w:t>
      </w:r>
    </w:p>
    <w:p w14:paraId="2BDE79D6">
      <w:pPr>
        <w:pStyle w:val="13"/>
        <w:spacing w:line="6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w:t>
      </w:r>
      <w:r>
        <w:rPr>
          <w:rFonts w:hint="eastAsia" w:ascii="Times New Roman" w:hAnsi="仿宋_GB2312" w:eastAsia="仿宋_GB2312" w:cs="Times New Roman"/>
          <w:b/>
          <w:bCs/>
          <w:sz w:val="32"/>
          <w:szCs w:val="32"/>
        </w:rPr>
        <w:t>春油菜：</w:t>
      </w:r>
      <w:r>
        <w:rPr>
          <w:rFonts w:hint="eastAsia" w:ascii="Times New Roman" w:hAnsi="仿宋_GB2312" w:eastAsia="仿宋_GB2312" w:cs="Times New Roman"/>
          <w:sz w:val="32"/>
          <w:szCs w:val="32"/>
        </w:rPr>
        <w:t>重点推广低芥酸、低硫苷及高产、高油、高抗的</w:t>
      </w:r>
      <w:r>
        <w:rPr>
          <w:rFonts w:ascii="Times New Roman" w:hAnsi="Times New Roman" w:eastAsia="仿宋_GB2312" w:cs="Times New Roman"/>
          <w:sz w:val="32"/>
          <w:szCs w:val="32"/>
        </w:rPr>
        <w:t>“</w:t>
      </w:r>
      <w:r>
        <w:rPr>
          <w:rFonts w:hint="eastAsia" w:ascii="Times New Roman" w:hAnsi="仿宋_GB2312" w:eastAsia="仿宋_GB2312" w:cs="Times New Roman"/>
          <w:sz w:val="32"/>
          <w:szCs w:val="32"/>
        </w:rPr>
        <w:t>双低</w:t>
      </w:r>
      <w:r>
        <w:rPr>
          <w:rFonts w:ascii="Times New Roman" w:hAnsi="Times New Roman" w:eastAsia="仿宋_GB2312" w:cs="Times New Roman"/>
          <w:sz w:val="32"/>
          <w:szCs w:val="32"/>
        </w:rPr>
        <w:t>”“</w:t>
      </w:r>
      <w:r>
        <w:rPr>
          <w:rFonts w:hint="eastAsia" w:ascii="Times New Roman" w:hAnsi="仿宋_GB2312" w:eastAsia="仿宋_GB2312" w:cs="Times New Roman"/>
          <w:sz w:val="32"/>
          <w:szCs w:val="32"/>
        </w:rPr>
        <w:t>三高</w:t>
      </w:r>
      <w:r>
        <w:rPr>
          <w:rFonts w:ascii="Times New Roman" w:hAnsi="Times New Roman" w:eastAsia="仿宋_GB2312" w:cs="Times New Roman"/>
          <w:sz w:val="32"/>
          <w:szCs w:val="32"/>
        </w:rPr>
        <w:t>”</w:t>
      </w:r>
      <w:r>
        <w:rPr>
          <w:rFonts w:hint="eastAsia" w:ascii="Times New Roman" w:hAnsi="仿宋_GB2312" w:eastAsia="仿宋_GB2312" w:cs="Times New Roman"/>
          <w:sz w:val="32"/>
          <w:szCs w:val="32"/>
        </w:rPr>
        <w:t>优质品种。中部和西南部春油菜区重点推陇油杂2号、青杂15号、青杂7号、青杂9号、烁沣油067等高产优质品种；河西春油菜区重点推广</w:t>
      </w:r>
      <w:r>
        <w:rPr>
          <w:rFonts w:hint="eastAsia" w:ascii="Times New Roman" w:hAnsi="仿宋_GB2312" w:eastAsia="仿宋_GB2312" w:cs="Times New Roman"/>
          <w:kern w:val="0"/>
          <w:sz w:val="32"/>
          <w:szCs w:val="32"/>
        </w:rPr>
        <w:t>汇丰1号、青杂7号、川油45、青杂9号</w:t>
      </w:r>
      <w:r>
        <w:rPr>
          <w:rFonts w:hint="eastAsia" w:ascii="Times New Roman" w:hAnsi="仿宋_GB2312" w:eastAsia="仿宋_GB2312" w:cs="Times New Roman"/>
          <w:sz w:val="32"/>
          <w:szCs w:val="32"/>
        </w:rPr>
        <w:t>等高产优质品种（详见附表</w:t>
      </w:r>
      <w:r>
        <w:rPr>
          <w:rFonts w:ascii="Times New Roman" w:hAnsi="Times New Roman" w:eastAsia="仿宋_GB2312" w:cs="Times New Roman"/>
          <w:sz w:val="32"/>
          <w:szCs w:val="32"/>
        </w:rPr>
        <w:t>2</w:t>
      </w:r>
      <w:r>
        <w:rPr>
          <w:rFonts w:hint="eastAsia" w:ascii="Times New Roman" w:hAnsi="仿宋_GB2312" w:eastAsia="仿宋_GB2312" w:cs="Times New Roman"/>
          <w:sz w:val="32"/>
          <w:szCs w:val="32"/>
        </w:rPr>
        <w:t>）。</w:t>
      </w:r>
    </w:p>
    <w:p w14:paraId="246D8CFC">
      <w:pPr>
        <w:pStyle w:val="43"/>
        <w:shd w:val="clear" w:color="auto" w:fill="FFFFFF"/>
        <w:spacing w:before="0" w:beforeAutospacing="0" w:after="0" w:afterAutospacing="0" w:line="62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3.</w:t>
      </w:r>
      <w:r>
        <w:rPr>
          <w:rFonts w:hint="eastAsia" w:ascii="Times New Roman" w:hAnsi="仿宋_GB2312" w:eastAsia="仿宋_GB2312" w:cs="Times New Roman"/>
          <w:b/>
          <w:bCs/>
          <w:sz w:val="32"/>
          <w:szCs w:val="32"/>
        </w:rPr>
        <w:t>玉米：</w:t>
      </w:r>
      <w:r>
        <w:rPr>
          <w:rFonts w:hint="eastAsia" w:ascii="Times New Roman" w:hAnsi="仿宋_GB2312" w:eastAsia="仿宋_GB2312" w:cs="Times New Roman"/>
          <w:sz w:val="32"/>
          <w:szCs w:val="32"/>
        </w:rPr>
        <w:t>重点推广抗旱高产、耐密抗倒、适宜机收的优质品种。海拔</w:t>
      </w:r>
      <w:r>
        <w:rPr>
          <w:rFonts w:ascii="Times New Roman" w:hAnsi="Times New Roman" w:eastAsia="仿宋_GB2312" w:cs="Times New Roman"/>
          <w:sz w:val="32"/>
          <w:szCs w:val="32"/>
        </w:rPr>
        <w:t>2000</w:t>
      </w:r>
      <w:r>
        <w:rPr>
          <w:rFonts w:hint="eastAsia" w:ascii="Times New Roman" w:hAnsi="仿宋_GB2312" w:eastAsia="仿宋_GB2312" w:cs="Times New Roman"/>
          <w:sz w:val="32"/>
          <w:szCs w:val="32"/>
        </w:rPr>
        <w:t>米以上地区及复种区域重点推广垦玉10号、龙源三号、高玉2300、金源早247等极早熟品种；海拔</w:t>
      </w:r>
      <w:r>
        <w:rPr>
          <w:rFonts w:ascii="Times New Roman" w:hAnsi="Times New Roman" w:eastAsia="仿宋_GB2312" w:cs="Times New Roman"/>
          <w:sz w:val="32"/>
          <w:szCs w:val="32"/>
        </w:rPr>
        <w:t>1800-2000</w:t>
      </w:r>
      <w:r>
        <w:rPr>
          <w:rFonts w:hint="eastAsia" w:ascii="Times New Roman" w:hAnsi="仿宋_GB2312" w:eastAsia="仿宋_GB2312" w:cs="Times New Roman"/>
          <w:sz w:val="32"/>
          <w:szCs w:val="32"/>
        </w:rPr>
        <w:t>米地区重点推广垦玉147、金穗306、鲁星619、利合328等早熟品种；海拔</w:t>
      </w:r>
      <w:r>
        <w:rPr>
          <w:rFonts w:ascii="Times New Roman" w:hAnsi="Times New Roman" w:eastAsia="仿宋_GB2312" w:cs="Times New Roman"/>
          <w:sz w:val="32"/>
          <w:szCs w:val="32"/>
        </w:rPr>
        <w:t>1700-1800</w:t>
      </w:r>
      <w:r>
        <w:rPr>
          <w:rFonts w:hint="eastAsia" w:ascii="Times New Roman" w:hAnsi="仿宋_GB2312" w:eastAsia="仿宋_GB2312" w:cs="Times New Roman"/>
          <w:sz w:val="32"/>
          <w:szCs w:val="32"/>
        </w:rPr>
        <w:t>米地区重点推广陇单339、优迪919、纵横836、敦玉15、垦玉706、垦玉100等中熟品种；海拔</w:t>
      </w:r>
      <w:r>
        <w:rPr>
          <w:rFonts w:ascii="Times New Roman" w:hAnsi="Times New Roman" w:eastAsia="仿宋_GB2312" w:cs="Times New Roman"/>
          <w:sz w:val="32"/>
          <w:szCs w:val="32"/>
        </w:rPr>
        <w:t>1500-1700</w:t>
      </w:r>
      <w:r>
        <w:rPr>
          <w:rFonts w:hint="eastAsia" w:ascii="Times New Roman" w:hAnsi="仿宋_GB2312" w:eastAsia="仿宋_GB2312" w:cs="Times New Roman"/>
          <w:sz w:val="32"/>
          <w:szCs w:val="32"/>
        </w:rPr>
        <w:t>米地区重点推广先玉1483、玉源7879、先玉1225、先玉1620、铁391、先玉698、吉农玉2988、龙生19号、陇单10号、禾育157、均隆1377等中晚熟品种；海拔</w:t>
      </w:r>
      <w:r>
        <w:rPr>
          <w:rFonts w:ascii="Times New Roman" w:hAnsi="Times New Roman" w:eastAsia="仿宋_GB2312" w:cs="Times New Roman"/>
          <w:sz w:val="32"/>
          <w:szCs w:val="32"/>
        </w:rPr>
        <w:t>1500</w:t>
      </w:r>
      <w:r>
        <w:rPr>
          <w:rFonts w:hint="eastAsia" w:ascii="Times New Roman" w:hAnsi="仿宋_GB2312" w:eastAsia="仿宋_GB2312" w:cs="Times New Roman"/>
          <w:sz w:val="32"/>
          <w:szCs w:val="32"/>
        </w:rPr>
        <w:t>米以下地区重点推广豫单1851、中金368、先玉1321、先玉1516、金穗1915、兴达5号、垦玉50等晚熟品种（详见附表</w:t>
      </w:r>
      <w:r>
        <w:rPr>
          <w:rFonts w:ascii="Times New Roman" w:hAnsi="Times New Roman" w:eastAsia="仿宋_GB2312" w:cs="Times New Roman"/>
          <w:sz w:val="32"/>
          <w:szCs w:val="32"/>
        </w:rPr>
        <w:t>3</w:t>
      </w:r>
      <w:r>
        <w:rPr>
          <w:rFonts w:hint="eastAsia" w:ascii="Times New Roman" w:hAnsi="仿宋_GB2312" w:eastAsia="仿宋_GB2312" w:cs="Times New Roman"/>
          <w:sz w:val="32"/>
          <w:szCs w:val="32"/>
        </w:rPr>
        <w:t>）。</w:t>
      </w:r>
    </w:p>
    <w:p w14:paraId="3656DA61">
      <w:pPr>
        <w:pStyle w:val="43"/>
        <w:shd w:val="clear" w:color="auto" w:fill="FFFFFF"/>
        <w:spacing w:before="0" w:beforeAutospacing="0" w:after="0" w:afterAutospacing="0" w:line="62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仿宋_GB2312" w:eastAsia="仿宋_GB2312" w:cs="Times New Roman"/>
          <w:color w:val="000000" w:themeColor="text1"/>
          <w:sz w:val="32"/>
          <w:szCs w:val="32"/>
          <w14:textFill>
            <w14:solidFill>
              <w14:schemeClr w14:val="tx1"/>
            </w14:solidFill>
          </w14:textFill>
        </w:rPr>
        <w:t>耐密宜机收品种示范推广吉农玉2988</w:t>
      </w:r>
      <w:r>
        <w:rPr>
          <w:rFonts w:hint="eastAsia" w:ascii="Times New Roman" w:hAnsi="仿宋_GB2312" w:eastAsia="仿宋_GB2312" w:cs="Times New Roman"/>
          <w:color w:val="000000" w:themeColor="text1"/>
          <w:sz w:val="32"/>
          <w:szCs w:val="32"/>
          <w:lang w:eastAsia="zh-CN"/>
          <w14:textFill>
            <w14:solidFill>
              <w14:schemeClr w14:val="tx1"/>
            </w14:solidFill>
          </w14:textFill>
        </w:rPr>
        <w:t>、</w:t>
      </w:r>
      <w:r>
        <w:rPr>
          <w:rFonts w:hint="eastAsia" w:ascii="Times New Roman" w:hAnsi="仿宋_GB2312" w:eastAsia="仿宋_GB2312" w:cs="Times New Roman"/>
          <w:color w:val="000000" w:themeColor="text1"/>
          <w:sz w:val="32"/>
          <w:szCs w:val="32"/>
          <w14:textFill>
            <w14:solidFill>
              <w14:schemeClr w14:val="tx1"/>
            </w14:solidFill>
          </w14:textFill>
        </w:rPr>
        <w:t>金穗</w:t>
      </w:r>
      <w:r>
        <w:rPr>
          <w:rFonts w:ascii="Times New Roman" w:hAnsi="Times New Roman" w:eastAsia="仿宋_GB2312" w:cs="Times New Roman"/>
          <w:color w:val="000000" w:themeColor="text1"/>
          <w:sz w:val="32"/>
          <w:szCs w:val="32"/>
          <w14:textFill>
            <w14:solidFill>
              <w14:schemeClr w14:val="tx1"/>
            </w14:solidFill>
          </w14:textFill>
        </w:rPr>
        <w:t>319</w:t>
      </w:r>
      <w:r>
        <w:rPr>
          <w:rFonts w:hint="eastAsia" w:ascii="Times New Roman" w:hAnsi="仿宋_GB2312" w:eastAsia="仿宋_GB2312" w:cs="Times New Roman"/>
          <w:color w:val="000000" w:themeColor="text1"/>
          <w:sz w:val="32"/>
          <w:szCs w:val="32"/>
          <w14:textFill>
            <w14:solidFill>
              <w14:schemeClr w14:val="tx1"/>
            </w14:solidFill>
          </w14:textFill>
        </w:rPr>
        <w:t>、玉研511</w:t>
      </w:r>
      <w:r>
        <w:rPr>
          <w:rFonts w:hint="eastAsia" w:ascii="Times New Roman" w:hAnsi="仿宋_GB2312" w:eastAsia="仿宋_GB2312" w:cs="Times New Roman"/>
          <w:color w:val="000000" w:themeColor="text1"/>
          <w:sz w:val="32"/>
          <w:szCs w:val="32"/>
          <w:lang w:eastAsia="zh-CN"/>
          <w14:textFill>
            <w14:solidFill>
              <w14:schemeClr w14:val="tx1"/>
            </w14:solidFill>
          </w14:textFill>
        </w:rPr>
        <w:t>、</w:t>
      </w:r>
      <w:r>
        <w:rPr>
          <w:rFonts w:hint="eastAsia" w:ascii="Times New Roman" w:hAnsi="仿宋_GB2312" w:eastAsia="仿宋_GB2312" w:cs="Times New Roman"/>
          <w:color w:val="000000" w:themeColor="text1"/>
          <w:sz w:val="32"/>
          <w:szCs w:val="32"/>
          <w14:textFill>
            <w14:solidFill>
              <w14:schemeClr w14:val="tx1"/>
            </w14:solidFill>
          </w14:textFill>
        </w:rPr>
        <w:t>豫单132</w:t>
      </w:r>
      <w:r>
        <w:rPr>
          <w:rFonts w:hint="eastAsia" w:ascii="Times New Roman" w:hAnsi="仿宋_GB2312" w:eastAsia="仿宋_GB2312" w:cs="Times New Roman"/>
          <w:color w:val="000000" w:themeColor="text1"/>
          <w:sz w:val="32"/>
          <w:szCs w:val="32"/>
          <w:lang w:eastAsia="zh-CN"/>
          <w14:textFill>
            <w14:solidFill>
              <w14:schemeClr w14:val="tx1"/>
            </w14:solidFill>
          </w14:textFill>
        </w:rPr>
        <w:t>、陇单639、临育30</w:t>
      </w:r>
      <w:r>
        <w:rPr>
          <w:rFonts w:hint="eastAsia" w:ascii="Times New Roman" w:hAnsi="仿宋_GB2312" w:eastAsia="仿宋_GB2312" w:cs="Times New Roman"/>
          <w:color w:val="000000" w:themeColor="text1"/>
          <w:sz w:val="32"/>
          <w:szCs w:val="32"/>
          <w14:textFill>
            <w14:solidFill>
              <w14:schemeClr w14:val="tx1"/>
            </w14:solidFill>
          </w14:textFill>
        </w:rPr>
        <w:t>等；青贮品种示范推广豫单1851、中金368</w:t>
      </w:r>
      <w:r>
        <w:rPr>
          <w:rFonts w:hint="eastAsia" w:ascii="Times New Roman" w:hAnsi="仿宋_GB2312" w:eastAsia="仿宋_GB2312" w:cs="Times New Roman"/>
          <w:color w:val="000000" w:themeColor="text1"/>
          <w:sz w:val="32"/>
          <w:szCs w:val="32"/>
          <w:lang w:eastAsia="zh-CN"/>
          <w14:textFill>
            <w14:solidFill>
              <w14:schemeClr w14:val="tx1"/>
            </w14:solidFill>
          </w14:textFill>
        </w:rPr>
        <w:t>、金穗1915、</w:t>
      </w:r>
      <w:r>
        <w:rPr>
          <w:rFonts w:hint="eastAsia" w:ascii="Times New Roman" w:hAnsi="仿宋_GB2312" w:eastAsia="仿宋_GB2312" w:cs="Times New Roman"/>
          <w:color w:val="000000" w:themeColor="text1"/>
          <w:sz w:val="32"/>
          <w:szCs w:val="32"/>
          <w14:textFill>
            <w14:solidFill>
              <w14:schemeClr w14:val="tx1"/>
            </w14:solidFill>
          </w14:textFill>
        </w:rPr>
        <w:t>金凯10号、陇青贮</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仿宋_GB2312" w:eastAsia="仿宋_GB2312" w:cs="Times New Roman"/>
          <w:color w:val="000000" w:themeColor="text1"/>
          <w:sz w:val="32"/>
          <w:szCs w:val="32"/>
          <w14:textFill>
            <w14:solidFill>
              <w14:schemeClr w14:val="tx1"/>
            </w14:solidFill>
          </w14:textFill>
        </w:rPr>
        <w:t>号、敦玉810、丰康519、陇青</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仿宋_GB2312" w:eastAsia="仿宋_GB2312" w:cs="Times New Roman"/>
          <w:color w:val="000000" w:themeColor="text1"/>
          <w:sz w:val="32"/>
          <w:szCs w:val="32"/>
          <w14:textFill>
            <w14:solidFill>
              <w14:schemeClr w14:val="tx1"/>
            </w14:solidFill>
          </w14:textFill>
        </w:rPr>
        <w:t>号、金凯7172、农科66等。</w:t>
      </w:r>
    </w:p>
    <w:p w14:paraId="4370FA3E">
      <w:pPr>
        <w:pStyle w:val="13"/>
        <w:spacing w:line="6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w:t>
      </w:r>
      <w:r>
        <w:rPr>
          <w:rFonts w:hint="eastAsia" w:ascii="Times New Roman" w:hAnsi="仿宋_GB2312" w:eastAsia="仿宋_GB2312" w:cs="Times New Roman"/>
          <w:b/>
          <w:bCs/>
          <w:sz w:val="32"/>
          <w:szCs w:val="32"/>
        </w:rPr>
        <w:t>马铃薯：</w:t>
      </w:r>
      <w:r>
        <w:rPr>
          <w:rFonts w:hint="eastAsia" w:ascii="Times New Roman" w:hAnsi="仿宋_GB2312" w:eastAsia="仿宋_GB2312" w:cs="Times New Roman"/>
          <w:sz w:val="32"/>
          <w:szCs w:val="32"/>
        </w:rPr>
        <w:t>重点推广抗病、抗旱、抗寒、适宜鲜食、食品、淀粉加工和市场需求的专用品种。河西灌区重点推广</w:t>
      </w:r>
      <w:r>
        <w:rPr>
          <w:rFonts w:hint="eastAsia" w:ascii="Times New Roman" w:hAnsi="仿宋_GB2312" w:eastAsia="仿宋_GB2312" w:cs="Times New Roman"/>
          <w:kern w:val="0"/>
          <w:sz w:val="32"/>
          <w:szCs w:val="32"/>
        </w:rPr>
        <w:t>大西洋、甘农薯7号、希森6号、陇薯23号</w:t>
      </w:r>
      <w:r>
        <w:rPr>
          <w:rFonts w:hint="eastAsia" w:ascii="Times New Roman" w:hAnsi="仿宋_GB2312" w:eastAsia="仿宋_GB2312" w:cs="Times New Roman"/>
          <w:sz w:val="32"/>
          <w:szCs w:val="32"/>
        </w:rPr>
        <w:t>等全粉（薯条薯片）加工型</w:t>
      </w:r>
      <w:r>
        <w:rPr>
          <w:rFonts w:hint="eastAsia" w:ascii="Times New Roman" w:hAnsi="仿宋_GB2312" w:eastAsia="仿宋_GB2312" w:cs="Times New Roman"/>
          <w:sz w:val="32"/>
          <w:szCs w:val="32"/>
          <w:lang w:val="en-US" w:eastAsia="zh-CN"/>
        </w:rPr>
        <w:t>和</w:t>
      </w:r>
      <w:r>
        <w:rPr>
          <w:rFonts w:hint="eastAsia" w:ascii="Times New Roman" w:hAnsi="仿宋_GB2312" w:eastAsia="仿宋_GB2312" w:cs="Times New Roman"/>
          <w:sz w:val="32"/>
          <w:szCs w:val="32"/>
        </w:rPr>
        <w:t>鲜食菜用型</w:t>
      </w:r>
      <w:r>
        <w:rPr>
          <w:rFonts w:hint="eastAsia" w:ascii="Times New Roman" w:hAnsi="仿宋_GB2312" w:eastAsia="仿宋_GB2312" w:cs="Times New Roman"/>
          <w:sz w:val="32"/>
          <w:szCs w:val="32"/>
          <w:lang w:val="en-US" w:eastAsia="zh-CN"/>
        </w:rPr>
        <w:t>偏早熟</w:t>
      </w:r>
      <w:r>
        <w:rPr>
          <w:rFonts w:hint="eastAsia" w:ascii="Times New Roman" w:hAnsi="仿宋_GB2312" w:eastAsia="仿宋_GB2312" w:cs="Times New Roman"/>
          <w:sz w:val="32"/>
          <w:szCs w:val="32"/>
        </w:rPr>
        <w:t>品种；中部旱作区重点推广</w:t>
      </w:r>
      <w:r>
        <w:rPr>
          <w:rFonts w:hint="eastAsia" w:ascii="Times New Roman" w:hAnsi="仿宋_GB2312" w:eastAsia="仿宋_GB2312" w:cs="Times New Roman"/>
          <w:kern w:val="0"/>
          <w:sz w:val="32"/>
          <w:szCs w:val="32"/>
        </w:rPr>
        <w:t>陇薯7号、陇薯10号、希森6号、冀张薯12号、陇薯14号、陇薯15号、甘农薯7号</w:t>
      </w:r>
      <w:r>
        <w:rPr>
          <w:rFonts w:hint="eastAsia" w:ascii="Times New Roman" w:hAnsi="仿宋_GB2312" w:eastAsia="仿宋_GB2312" w:cs="Times New Roman"/>
          <w:sz w:val="32"/>
          <w:szCs w:val="32"/>
        </w:rPr>
        <w:t>等淀粉加工和鲜食菜用型品种；中部灌区重点推</w:t>
      </w:r>
      <w:r>
        <w:rPr>
          <w:rFonts w:hint="eastAsia" w:ascii="Times New Roman" w:hAnsi="仿宋_GB2312" w:eastAsia="仿宋_GB2312" w:cs="Times New Roman"/>
          <w:sz w:val="32"/>
          <w:szCs w:val="32"/>
          <w:lang w:val="en-US" w:eastAsia="zh-CN"/>
        </w:rPr>
        <w:t>广</w:t>
      </w:r>
      <w:r>
        <w:rPr>
          <w:rFonts w:hint="eastAsia" w:ascii="Times New Roman" w:hAnsi="仿宋_GB2312" w:eastAsia="仿宋_GB2312" w:cs="Times New Roman"/>
          <w:sz w:val="32"/>
          <w:szCs w:val="32"/>
        </w:rPr>
        <w:t>希森6号、冀张薯12号、陇薯7号、陇薯10号、甘农薯7号、费乌瑞它等鲜食菜用型品种；陇东旱作区重点推广</w:t>
      </w:r>
      <w:r>
        <w:rPr>
          <w:rFonts w:hint="eastAsia" w:ascii="Times New Roman" w:hAnsi="仿宋_GB2312" w:eastAsia="仿宋_GB2312" w:cs="Times New Roman"/>
          <w:kern w:val="0"/>
          <w:sz w:val="32"/>
          <w:szCs w:val="32"/>
        </w:rPr>
        <w:t>陇薯7号、陇薯10号、冀张薯12号、陇薯14号</w:t>
      </w:r>
      <w:r>
        <w:rPr>
          <w:rFonts w:hint="eastAsia" w:ascii="Times New Roman" w:hAnsi="仿宋_GB2312" w:eastAsia="仿宋_GB2312" w:cs="Times New Roman"/>
          <w:sz w:val="32"/>
          <w:szCs w:val="32"/>
        </w:rPr>
        <w:t>等专用品种；陇南湿润半湿润区重点推广</w:t>
      </w:r>
      <w:r>
        <w:rPr>
          <w:rFonts w:hint="eastAsia" w:ascii="Times New Roman" w:hAnsi="仿宋_GB2312" w:eastAsia="仿宋_GB2312" w:cs="Times New Roman"/>
          <w:kern w:val="0"/>
          <w:sz w:val="32"/>
          <w:szCs w:val="32"/>
        </w:rPr>
        <w:t>陇薯7号、冀张薯12号、陇薯10号、希森6号、陇薯6号、陇薯14号、陇薯15号、陇薯22号</w:t>
      </w:r>
      <w:r>
        <w:rPr>
          <w:rFonts w:hint="eastAsia" w:ascii="Times New Roman" w:hAnsi="仿宋_GB2312" w:eastAsia="仿宋_GB2312" w:cs="Times New Roman"/>
          <w:sz w:val="32"/>
          <w:szCs w:val="32"/>
        </w:rPr>
        <w:t>等专用品种（详见附表</w:t>
      </w:r>
      <w:r>
        <w:rPr>
          <w:rFonts w:ascii="Times New Roman" w:hAnsi="Times New Roman" w:eastAsia="仿宋_GB2312" w:cs="Times New Roman"/>
          <w:sz w:val="32"/>
          <w:szCs w:val="32"/>
        </w:rPr>
        <w:t>4</w:t>
      </w:r>
      <w:r>
        <w:rPr>
          <w:rFonts w:hint="eastAsia" w:ascii="Times New Roman" w:hAnsi="仿宋_GB2312" w:eastAsia="仿宋_GB2312" w:cs="Times New Roman"/>
          <w:sz w:val="32"/>
          <w:szCs w:val="32"/>
        </w:rPr>
        <w:t>）。</w:t>
      </w:r>
    </w:p>
    <w:p w14:paraId="634B81C1">
      <w:pPr>
        <w:pStyle w:val="13"/>
        <w:spacing w:line="6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5.</w:t>
      </w:r>
      <w:r>
        <w:rPr>
          <w:rFonts w:hint="eastAsia" w:ascii="Times New Roman" w:hAnsi="仿宋_GB2312" w:eastAsia="仿宋_GB2312" w:cs="Times New Roman"/>
          <w:b/>
          <w:bCs/>
          <w:sz w:val="32"/>
          <w:szCs w:val="32"/>
        </w:rPr>
        <w:t>大豆：</w:t>
      </w:r>
      <w:r>
        <w:rPr>
          <w:rFonts w:hint="eastAsia" w:ascii="Times New Roman" w:hAnsi="仿宋_GB2312" w:eastAsia="仿宋_GB2312" w:cs="Times New Roman"/>
          <w:sz w:val="32"/>
          <w:szCs w:val="32"/>
        </w:rPr>
        <w:t>重点推广高产、高蛋白、耐荫、耐密、抗倒、有限或亚有限结荚品种。春播中晚熟区域重点推广</w:t>
      </w:r>
      <w:r>
        <w:rPr>
          <w:rFonts w:hint="eastAsia" w:ascii="Times New Roman" w:hAnsi="仿宋_GB2312" w:eastAsia="仿宋_GB2312" w:cs="Times New Roman"/>
          <w:kern w:val="0"/>
          <w:sz w:val="32"/>
          <w:szCs w:val="32"/>
        </w:rPr>
        <w:t>中黄30、陇中黄603、陇中黄602、陇中黄605</w:t>
      </w:r>
      <w:r>
        <w:rPr>
          <w:rFonts w:hint="eastAsia" w:ascii="Times New Roman" w:hAnsi="仿宋_GB2312" w:eastAsia="仿宋_GB2312" w:cs="Times New Roman"/>
          <w:sz w:val="32"/>
          <w:szCs w:val="32"/>
        </w:rPr>
        <w:t>等高产优质品种，春播晚熟区域重点推广</w:t>
      </w:r>
      <w:r>
        <w:rPr>
          <w:rFonts w:hint="eastAsia" w:ascii="Times New Roman" w:hAnsi="仿宋_GB2312" w:eastAsia="仿宋_GB2312" w:cs="Times New Roman"/>
          <w:kern w:val="0"/>
          <w:sz w:val="32"/>
          <w:szCs w:val="32"/>
        </w:rPr>
        <w:t>冀豆17、齐黄34、陇中黄603、陇中黄605、庆科豆1号、陇黄3号、陇中黄602、汾豆78号</w:t>
      </w:r>
      <w:r>
        <w:rPr>
          <w:rFonts w:hint="eastAsia" w:ascii="Times New Roman" w:hAnsi="仿宋_GB2312" w:eastAsia="仿宋_GB2312" w:cs="Times New Roman"/>
          <w:sz w:val="32"/>
          <w:szCs w:val="32"/>
        </w:rPr>
        <w:t>等高产优质品种；夏播（复种）大豆区域重点推广</w:t>
      </w:r>
      <w:r>
        <w:rPr>
          <w:rFonts w:hint="eastAsia" w:ascii="Times New Roman" w:hAnsi="仿宋_GB2312" w:eastAsia="仿宋_GB2312" w:cs="Times New Roman"/>
          <w:kern w:val="0"/>
          <w:sz w:val="32"/>
          <w:szCs w:val="32"/>
        </w:rPr>
        <w:t>陇中黄603、陇中黄602、东豆100、银豆4号、中黄30、陇黄3号</w:t>
      </w:r>
      <w:r>
        <w:rPr>
          <w:rFonts w:hint="eastAsia" w:ascii="Times New Roman" w:hAnsi="仿宋_GB2312" w:eastAsia="仿宋_GB2312" w:cs="Times New Roman"/>
          <w:sz w:val="32"/>
          <w:szCs w:val="32"/>
        </w:rPr>
        <w:t>等高产优质品种（详见附表</w:t>
      </w:r>
      <w:r>
        <w:rPr>
          <w:rFonts w:ascii="Times New Roman" w:hAnsi="Times New Roman" w:eastAsia="仿宋_GB2312" w:cs="Times New Roman"/>
          <w:sz w:val="32"/>
          <w:szCs w:val="32"/>
        </w:rPr>
        <w:t>5</w:t>
      </w:r>
      <w:r>
        <w:rPr>
          <w:rFonts w:hint="eastAsia" w:ascii="Times New Roman" w:hAnsi="仿宋_GB2312" w:eastAsia="仿宋_GB2312" w:cs="Times New Roman"/>
          <w:sz w:val="32"/>
          <w:szCs w:val="32"/>
        </w:rPr>
        <w:t>）。</w:t>
      </w:r>
    </w:p>
    <w:p w14:paraId="5DE2E97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四、保障措施</w:t>
      </w:r>
    </w:p>
    <w:p w14:paraId="001BCF6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Times New Roman"/>
          <w:sz w:val="32"/>
          <w:szCs w:val="32"/>
        </w:rPr>
      </w:pPr>
      <w:r>
        <w:rPr>
          <w:rFonts w:hint="eastAsia" w:ascii="Times New Roman" w:hAnsi="楷体_GB2312" w:eastAsia="楷体_GB2312" w:cs="Times New Roman"/>
          <w:b/>
          <w:bCs/>
          <w:color w:val="000000"/>
          <w:sz w:val="32"/>
          <w:szCs w:val="32"/>
        </w:rPr>
        <w:t>（一）提高工作认识</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各地要提前谋划，高度重视，把做好春播作物品种布局工作作为保障粮食安全底线、稳步提升农业综合生产能力的重要举措，提高工作认识，</w:t>
      </w:r>
      <w:r>
        <w:rPr>
          <w:rFonts w:hint="eastAsia" w:ascii="Times New Roman" w:hAnsi="Calibri" w:eastAsia="仿宋_GB2312" w:cs="Times New Roman"/>
          <w:sz w:val="32"/>
          <w:szCs w:val="32"/>
        </w:rPr>
        <w:t>加强组织领导，细化工作举措，</w:t>
      </w:r>
      <w:r>
        <w:rPr>
          <w:rFonts w:hint="eastAsia" w:ascii="Times New Roman" w:hAnsi="仿宋_GB2312" w:eastAsia="仿宋_GB2312" w:cs="Times New Roman"/>
          <w:color w:val="auto"/>
          <w:kern w:val="1"/>
          <w:sz w:val="32"/>
          <w:szCs w:val="32"/>
        </w:rPr>
        <w:t>以</w:t>
      </w:r>
      <w:r>
        <w:rPr>
          <w:rFonts w:hint="eastAsia" w:hAnsi="仿宋_GB2312" w:eastAsia="仿宋_GB2312" w:cs="Times New Roman"/>
          <w:color w:val="auto"/>
          <w:kern w:val="1"/>
          <w:sz w:val="32"/>
          <w:szCs w:val="32"/>
          <w:lang w:val="en-US" w:eastAsia="zh-CN"/>
        </w:rPr>
        <w:t>落实</w:t>
      </w:r>
      <w:r>
        <w:rPr>
          <w:rFonts w:hint="eastAsia" w:ascii="Times New Roman" w:hAnsi="仿宋_GB2312" w:eastAsia="仿宋_GB2312" w:cs="Times New Roman"/>
          <w:color w:val="auto"/>
          <w:kern w:val="1"/>
          <w:sz w:val="32"/>
          <w:szCs w:val="32"/>
        </w:rPr>
        <w:t>全省品种布局意见为</w:t>
      </w:r>
      <w:r>
        <w:rPr>
          <w:rFonts w:hint="eastAsia" w:hAnsi="仿宋_GB2312" w:eastAsia="仿宋_GB2312" w:cs="Times New Roman"/>
          <w:color w:val="auto"/>
          <w:kern w:val="1"/>
          <w:sz w:val="32"/>
          <w:szCs w:val="32"/>
          <w:lang w:val="en-US" w:eastAsia="zh-CN"/>
        </w:rPr>
        <w:t>抓手</w:t>
      </w:r>
      <w:r>
        <w:rPr>
          <w:rFonts w:hint="eastAsia" w:ascii="Times New Roman" w:hAnsi="仿宋_GB2312" w:eastAsia="仿宋_GB2312" w:cs="Times New Roman"/>
          <w:color w:val="auto"/>
          <w:kern w:val="1"/>
          <w:sz w:val="32"/>
          <w:szCs w:val="32"/>
        </w:rPr>
        <w:t>，</w:t>
      </w:r>
      <w:r>
        <w:rPr>
          <w:rFonts w:hint="eastAsia" w:ascii="Times New Roman" w:hAnsi="Calibri" w:eastAsia="仿宋_GB2312" w:cs="Times New Roman"/>
          <w:sz w:val="32"/>
          <w:szCs w:val="32"/>
        </w:rPr>
        <w:t>加强指导服务，确保春耕生产顺利开展。</w:t>
      </w:r>
    </w:p>
    <w:p w14:paraId="4B3DEC2D">
      <w:pPr>
        <w:pStyle w:val="13"/>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Times New Roman"/>
          <w:color w:val="000000"/>
          <w:kern w:val="0"/>
          <w:sz w:val="32"/>
          <w:szCs w:val="32"/>
        </w:rPr>
      </w:pPr>
      <w:r>
        <w:rPr>
          <w:rFonts w:hint="eastAsia" w:ascii="Times New Roman" w:hAnsi="楷体_GB2312" w:eastAsia="楷体_GB2312" w:cs="Times New Roman"/>
          <w:b/>
          <w:bCs/>
          <w:color w:val="000000"/>
          <w:kern w:val="2"/>
          <w:sz w:val="32"/>
          <w:szCs w:val="32"/>
        </w:rPr>
        <w:t>（二）强化种子保供。</w:t>
      </w:r>
      <w:r>
        <w:rPr>
          <w:rFonts w:hint="eastAsia" w:ascii="Times New Roman" w:hAnsi="仿宋_GB2312" w:eastAsia="仿宋_GB2312" w:cs="Times New Roman"/>
          <w:sz w:val="32"/>
          <w:szCs w:val="32"/>
        </w:rPr>
        <w:t>认真做好春播作物种子供需和储备情况调度，摸清、摸准用种需求、可供种数量、品种结构等信息，动态掌握种子实时供应情况，及时分析研判供需形势，</w:t>
      </w:r>
      <w:r>
        <w:rPr>
          <w:rFonts w:hint="eastAsia" w:ascii="Times New Roman" w:hAnsi="Times New Roman" w:eastAsia="仿宋_GB2312" w:cs="Times New Roman"/>
          <w:kern w:val="0"/>
          <w:sz w:val="32"/>
          <w:szCs w:val="32"/>
        </w:rPr>
        <w:t>全面做好种子余缺调剂，</w:t>
      </w:r>
      <w:r>
        <w:rPr>
          <w:rFonts w:hint="eastAsia" w:ascii="Times New Roman" w:hAnsi="仿宋_GB2312" w:eastAsia="仿宋_GB2312" w:cs="Times New Roman"/>
          <w:sz w:val="32"/>
          <w:szCs w:val="32"/>
        </w:rPr>
        <w:t>保障春播用种数量和用种结构安全。加大对种子市场监管，</w:t>
      </w:r>
      <w:r>
        <w:rPr>
          <w:rFonts w:hint="eastAsia" w:ascii="Times New Roman" w:hAnsi="Times New Roman" w:eastAsia="仿宋_GB2312" w:cs="Times New Roman"/>
          <w:sz w:val="32"/>
          <w:szCs w:val="32"/>
        </w:rPr>
        <w:t>严厉打击哄抬物价、以次充好、以假乱真、</w:t>
      </w:r>
      <w:r>
        <w:rPr>
          <w:rFonts w:hint="eastAsia" w:ascii="Times New Roman" w:hAnsi="Times New Roman" w:eastAsia="仿宋_GB2312" w:cs="Times New Roman"/>
          <w:color w:val="000000"/>
          <w:sz w:val="32"/>
          <w:szCs w:val="32"/>
          <w:shd w:val="clear" w:color="auto" w:fill="FFFFFF"/>
        </w:rPr>
        <w:t>虚假宣传、</w:t>
      </w:r>
      <w:r>
        <w:rPr>
          <w:rFonts w:hint="eastAsia" w:ascii="Times New Roman" w:hAnsi="Times New Roman" w:eastAsia="仿宋_GB2312" w:cs="Times New Roman"/>
          <w:sz w:val="32"/>
          <w:szCs w:val="32"/>
        </w:rPr>
        <w:t>品种侵权等违法行为，</w:t>
      </w:r>
      <w:r>
        <w:rPr>
          <w:rFonts w:hint="eastAsia" w:ascii="Times New Roman" w:hAnsi="Times New Roman" w:eastAsia="仿宋_GB2312" w:cs="Times New Roman"/>
          <w:color w:val="000000"/>
          <w:sz w:val="32"/>
          <w:szCs w:val="32"/>
          <w:shd w:val="clear" w:color="auto" w:fill="FFFFFF"/>
        </w:rPr>
        <w:t>切实维护种子市场经营秩序。</w:t>
      </w:r>
      <w:r>
        <w:rPr>
          <w:rFonts w:hint="eastAsia" w:ascii="Times New Roman" w:hAnsi="Times New Roman" w:eastAsia="仿宋_GB2312" w:cs="Times New Roman"/>
          <w:color w:val="000000"/>
          <w:kern w:val="0"/>
          <w:sz w:val="32"/>
          <w:szCs w:val="32"/>
        </w:rPr>
        <w:t>引导农民在合法正规的种子经营主体购买标牌包装种子，及时索证索票，</w:t>
      </w:r>
      <w:r>
        <w:rPr>
          <w:rFonts w:hint="eastAsia" w:ascii="Times New Roman" w:hAnsi="Times New Roman" w:eastAsia="仿宋_GB2312" w:cs="Times New Roman"/>
          <w:sz w:val="32"/>
          <w:szCs w:val="32"/>
        </w:rPr>
        <w:t>保障农民</w:t>
      </w:r>
      <w:r>
        <w:rPr>
          <w:rFonts w:hint="eastAsia" w:ascii="Times New Roman" w:hAnsi="Times New Roman" w:eastAsia="仿宋_GB2312" w:cs="Times New Roman"/>
          <w:color w:val="000000"/>
          <w:kern w:val="0"/>
          <w:sz w:val="32"/>
          <w:szCs w:val="32"/>
        </w:rPr>
        <w:t>合法权益，确保农业生产用种安全。</w:t>
      </w:r>
    </w:p>
    <w:p w14:paraId="4039A1F7">
      <w:pPr>
        <w:pStyle w:val="4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Times New Roman" w:hAnsi="Times New Roman" w:eastAsia="仿宋_GB2312" w:cs="Times New Roman"/>
          <w:kern w:val="2"/>
          <w:sz w:val="32"/>
          <w:szCs w:val="32"/>
        </w:rPr>
      </w:pPr>
      <w:r>
        <w:rPr>
          <w:rFonts w:hint="eastAsia" w:ascii="Times New Roman" w:hAnsi="楷体_GB2312" w:eastAsia="楷体_GB2312" w:cs="Times New Roman"/>
          <w:b/>
          <w:bCs/>
          <w:color w:val="000000"/>
          <w:kern w:val="2"/>
          <w:sz w:val="32"/>
          <w:szCs w:val="32"/>
        </w:rPr>
        <w:t>（三）强化技术服务。</w:t>
      </w:r>
      <w:r>
        <w:rPr>
          <w:rFonts w:hint="eastAsia" w:ascii="Times New Roman" w:eastAsia="仿宋_GB2312" w:cs="Times New Roman"/>
          <w:kern w:val="2"/>
          <w:sz w:val="32"/>
          <w:szCs w:val="32"/>
        </w:rPr>
        <w:t>在关键农时及时组织农技人员深入田间地头</w:t>
      </w:r>
      <w:r>
        <w:rPr>
          <w:rFonts w:hint="eastAsia" w:ascii="Times New Roman" w:hAnsi="Times New Roman" w:eastAsia="仿宋_GB2312" w:cs="Times New Roman"/>
          <w:kern w:val="2"/>
          <w:sz w:val="32"/>
          <w:szCs w:val="32"/>
        </w:rPr>
        <w:t>开展</w:t>
      </w:r>
      <w:r>
        <w:rPr>
          <w:rFonts w:hint="eastAsia" w:ascii="Times New Roman" w:hAnsi="Times New Roman" w:eastAsia="仿宋_GB2312" w:cs="Times New Roman"/>
          <w:sz w:val="32"/>
          <w:szCs w:val="32"/>
        </w:rPr>
        <w:t>技术指导与服务，</w:t>
      </w:r>
      <w:r>
        <w:rPr>
          <w:rFonts w:hint="eastAsia" w:ascii="Times New Roman" w:eastAsia="仿宋_GB2312" w:cs="Times New Roman"/>
          <w:kern w:val="2"/>
          <w:sz w:val="32"/>
          <w:szCs w:val="32"/>
        </w:rPr>
        <w:t>科学引导农民选择优良品种和高产栽培技术，推进良种良法配套、农机农艺融合。</w:t>
      </w:r>
      <w:r>
        <w:rPr>
          <w:rFonts w:hint="eastAsia" w:ascii="Times New Roman" w:hAnsi="仿宋_GB2312" w:eastAsia="仿宋_GB2312" w:cs="Times New Roman"/>
          <w:kern w:val="2"/>
          <w:sz w:val="32"/>
          <w:szCs w:val="32"/>
        </w:rPr>
        <w:t>春小麦重点推广种子包衣等药剂处理、机械精量条播、宽幅匀播等技术，春油菜重点推广全程机械化、药肥减施等节本增效生产技术，</w:t>
      </w:r>
      <w:r>
        <w:rPr>
          <w:rFonts w:hint="eastAsia" w:ascii="Times New Roman" w:hAnsi="Times New Roman" w:eastAsia="仿宋_GB2312" w:cs="Times New Roman"/>
          <w:kern w:val="2"/>
          <w:sz w:val="32"/>
          <w:szCs w:val="32"/>
        </w:rPr>
        <w:t>玉米重点推广全膜双垄沟播、秸秆还田、土壤改良综合培肥、增施有机肥、水肥一体化等技术，马铃薯重点推广黑膜全覆盖垄作、测土配方施肥、病虫害绿色防控、水肥一体化、全程机械化耕作等综合配套栽培技术，大豆重点推广全膜微垄沟播、全膜覆土穴播、秋覆膜全膜双垄沟播等栽培技术</w:t>
      </w:r>
      <w:r>
        <w:rPr>
          <w:rFonts w:hint="eastAsia" w:ascii="Times New Roman" w:eastAsia="仿宋_GB2312" w:cs="Times New Roman"/>
          <w:kern w:val="2"/>
          <w:sz w:val="32"/>
          <w:szCs w:val="32"/>
        </w:rPr>
        <w:t>。</w:t>
      </w:r>
    </w:p>
    <w:p w14:paraId="62AC2FEB">
      <w:pPr>
        <w:pStyle w:val="4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宋体" w:hAnsi="宋体" w:eastAsia="仿宋_GB2312"/>
          <w:sz w:val="13"/>
          <w:szCs w:val="13"/>
          <w:lang w:eastAsia="zh-CN"/>
        </w:rPr>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pPr>
      <w:r>
        <w:rPr>
          <w:rFonts w:hint="eastAsia" w:ascii="Times New Roman" w:eastAsia="楷体_GB2312" w:cs="Times New Roman"/>
          <w:b/>
          <w:sz w:val="32"/>
          <w:szCs w:val="32"/>
        </w:rPr>
        <w:t>（四）加强宣传引导</w:t>
      </w:r>
      <w:r>
        <w:rPr>
          <w:rFonts w:hint="eastAsia" w:ascii="Times New Roman" w:hAnsi="仿宋_GB2312" w:eastAsia="仿宋_GB2312" w:cs="Times New Roman"/>
          <w:b/>
          <w:kern w:val="1"/>
          <w:sz w:val="32"/>
          <w:szCs w:val="32"/>
        </w:rPr>
        <w:t>。</w:t>
      </w:r>
      <w:r>
        <w:rPr>
          <w:rFonts w:hint="eastAsia" w:ascii="Times New Roman" w:hAnsi="Times New Roman" w:eastAsia="仿宋_GB2312" w:cs="Times New Roman"/>
          <w:sz w:val="32"/>
          <w:szCs w:val="32"/>
        </w:rPr>
        <w:t>充分利用现代信息网络平台以及各种新媒体平台，</w:t>
      </w:r>
      <w:r>
        <w:rPr>
          <w:rFonts w:hint="eastAsia" w:ascii="Times New Roman" w:eastAsia="仿宋_GB2312" w:cs="Times New Roman"/>
          <w:sz w:val="32"/>
          <w:szCs w:val="32"/>
        </w:rPr>
        <w:t>及时向农民群众发布品种推荐信息，</w:t>
      </w:r>
      <w:r>
        <w:rPr>
          <w:rFonts w:hint="eastAsia" w:ascii="Times New Roman" w:hAnsi="Times New Roman" w:eastAsia="仿宋_GB2312" w:cs="Times New Roman"/>
          <w:sz w:val="32"/>
          <w:szCs w:val="32"/>
        </w:rPr>
        <w:t>大力宣传介绍品种的特征特性、适种范围和高产栽培技术。加大品种展示示范、现场观摩及综合评价，</w:t>
      </w:r>
      <w:r>
        <w:rPr>
          <w:rFonts w:hint="eastAsia" w:ascii="Times New Roman" w:hAnsi="仿宋_GB2312" w:eastAsia="仿宋_GB2312" w:cs="Times New Roman"/>
          <w:sz w:val="32"/>
          <w:szCs w:val="32"/>
        </w:rPr>
        <w:t>搭建</w:t>
      </w:r>
      <w:r>
        <w:rPr>
          <w:rFonts w:ascii="Times New Roman" w:hAnsi="Times New Roman" w:eastAsia="仿宋_GB2312" w:cs="Times New Roman"/>
          <w:sz w:val="32"/>
          <w:szCs w:val="32"/>
        </w:rPr>
        <w:t>“</w:t>
      </w:r>
      <w:r>
        <w:rPr>
          <w:rFonts w:hint="eastAsia" w:ascii="Times New Roman" w:hAnsi="仿宋_GB2312" w:eastAsia="仿宋_GB2312" w:cs="Times New Roman"/>
          <w:sz w:val="32"/>
          <w:szCs w:val="32"/>
        </w:rPr>
        <w:t>看禾选种</w:t>
      </w:r>
      <w:r>
        <w:rPr>
          <w:rFonts w:ascii="Times New Roman" w:hAnsi="Times New Roman" w:eastAsia="仿宋_GB2312" w:cs="Times New Roman"/>
          <w:sz w:val="32"/>
          <w:szCs w:val="32"/>
        </w:rPr>
        <w:t>”</w:t>
      </w:r>
      <w:r>
        <w:rPr>
          <w:rFonts w:hint="eastAsia" w:ascii="Times New Roman" w:hAnsi="仿宋_GB2312" w:eastAsia="仿宋_GB2312" w:cs="Times New Roman"/>
          <w:sz w:val="32"/>
          <w:szCs w:val="32"/>
        </w:rPr>
        <w:t>平台，</w:t>
      </w:r>
      <w:r>
        <w:rPr>
          <w:rFonts w:hint="eastAsia" w:ascii="Times New Roman" w:eastAsia="仿宋_GB2312" w:cs="Times New Roman"/>
          <w:sz w:val="32"/>
          <w:szCs w:val="32"/>
        </w:rPr>
        <w:t>提高</w:t>
      </w:r>
      <w:r>
        <w:rPr>
          <w:rFonts w:hint="eastAsia" w:ascii="Times New Roman" w:hAnsi="Times New Roman" w:eastAsia="仿宋_GB2312" w:cs="Times New Roman"/>
          <w:color w:val="000000"/>
          <w:sz w:val="32"/>
          <w:szCs w:val="32"/>
        </w:rPr>
        <w:t>广大农技干部、种子企业和农民</w:t>
      </w:r>
      <w:r>
        <w:rPr>
          <w:rFonts w:hint="eastAsia" w:ascii="Times New Roman" w:eastAsia="仿宋_GB2312" w:cs="Times New Roman"/>
          <w:sz w:val="32"/>
          <w:szCs w:val="32"/>
        </w:rPr>
        <w:t>对</w:t>
      </w:r>
      <w:r>
        <w:rPr>
          <w:rFonts w:hint="eastAsia" w:ascii="Times New Roman" w:hAnsi="Times New Roman" w:eastAsia="仿宋_GB2312" w:cs="Times New Roman"/>
          <w:sz w:val="32"/>
          <w:szCs w:val="32"/>
        </w:rPr>
        <w:t>新优品种</w:t>
      </w:r>
      <w:r>
        <w:rPr>
          <w:rFonts w:hint="eastAsia" w:ascii="Times New Roman" w:eastAsia="仿宋_GB2312" w:cs="Times New Roman"/>
          <w:sz w:val="32"/>
          <w:szCs w:val="32"/>
        </w:rPr>
        <w:t>的认知和应用程度，</w:t>
      </w:r>
      <w:r>
        <w:rPr>
          <w:rFonts w:hint="eastAsia" w:ascii="Times New Roman" w:hAnsi="仿宋_GB2312" w:eastAsia="仿宋_GB2312" w:cs="Times New Roman"/>
          <w:color w:val="000000"/>
          <w:sz w:val="32"/>
          <w:szCs w:val="32"/>
        </w:rPr>
        <w:t>形成</w:t>
      </w:r>
      <w:r>
        <w:rPr>
          <w:rFonts w:hint="eastAsia" w:ascii="Times New Roman" w:hAnsi="Times New Roman" w:eastAsia="仿宋_GB2312" w:cs="Times New Roman"/>
          <w:color w:val="000000"/>
          <w:sz w:val="32"/>
          <w:szCs w:val="32"/>
          <w:lang w:eastAsia="zh-CN"/>
        </w:rPr>
        <w:t>“</w:t>
      </w:r>
      <w:r>
        <w:rPr>
          <w:rFonts w:hint="eastAsia" w:ascii="Times New Roman" w:hAnsi="仿宋_GB2312" w:eastAsia="仿宋_GB2312" w:cs="Times New Roman"/>
          <w:color w:val="000000"/>
          <w:sz w:val="32"/>
          <w:szCs w:val="32"/>
        </w:rPr>
        <w:t>种子部门看禾推介品种、农民看禾选用品种、种子企业看禾</w:t>
      </w:r>
      <w:r>
        <w:fldChar w:fldCharType="begin"/>
      </w:r>
      <w:r>
        <w:instrText xml:space="preserve"> HYPERLINK "http://www.chinaseed114.com/market/" \t "https://www.chinaseed114.com/news/12/_blank" </w:instrText>
      </w:r>
      <w:r>
        <w:fldChar w:fldCharType="separate"/>
      </w:r>
      <w:r>
        <w:rPr>
          <w:rFonts w:hint="eastAsia" w:ascii="Times New Roman" w:hAnsi="仿宋_GB2312" w:eastAsia="仿宋_GB2312" w:cs="Times New Roman"/>
          <w:color w:val="000000"/>
          <w:sz w:val="32"/>
          <w:szCs w:val="32"/>
        </w:rPr>
        <w:t>营销</w:t>
      </w:r>
      <w:r>
        <w:rPr>
          <w:rFonts w:hint="eastAsia" w:ascii="Times New Roman" w:hAnsi="仿宋_GB2312" w:eastAsia="仿宋_GB2312" w:cs="Times New Roman"/>
          <w:color w:val="000000"/>
          <w:sz w:val="32"/>
          <w:szCs w:val="32"/>
        </w:rPr>
        <w:fldChar w:fldCharType="end"/>
      </w:r>
      <w:r>
        <w:rPr>
          <w:rFonts w:hint="eastAsia" w:ascii="Times New Roman" w:hAnsi="仿宋_GB2312" w:eastAsia="仿宋_GB2312" w:cs="Times New Roman"/>
          <w:color w:val="000000"/>
          <w:sz w:val="32"/>
          <w:szCs w:val="32"/>
        </w:rPr>
        <w:t>品种</w:t>
      </w:r>
      <w:r>
        <w:rPr>
          <w:rFonts w:hint="eastAsia" w:ascii="Times New Roman" w:hAnsi="Times New Roman" w:eastAsia="仿宋_GB2312" w:cs="Times New Roman"/>
          <w:color w:val="000000"/>
          <w:sz w:val="32"/>
          <w:szCs w:val="32"/>
          <w:lang w:eastAsia="zh-CN"/>
        </w:rPr>
        <w:t>”</w:t>
      </w:r>
      <w:r>
        <w:rPr>
          <w:rFonts w:hint="eastAsia" w:ascii="Times New Roman" w:hAnsi="仿宋_GB2312" w:eastAsia="仿宋_GB2312" w:cs="Times New Roman"/>
          <w:color w:val="000000"/>
          <w:sz w:val="32"/>
          <w:szCs w:val="32"/>
        </w:rPr>
        <w:t>的良好机制，</w:t>
      </w:r>
      <w:r>
        <w:rPr>
          <w:rFonts w:hint="eastAsia" w:ascii="Times New Roman" w:hAnsi="Times New Roman" w:eastAsia="仿宋_GB2312" w:cs="Times New Roman"/>
          <w:color w:val="000000"/>
          <w:sz w:val="32"/>
          <w:szCs w:val="32"/>
        </w:rPr>
        <w:t>通过示范观摩直观引导，</w:t>
      </w:r>
      <w:r>
        <w:rPr>
          <w:rFonts w:hint="eastAsia" w:ascii="Times New Roman" w:hAnsi="仿宋_GB2312" w:eastAsia="仿宋_GB2312" w:cs="Times New Roman"/>
          <w:sz w:val="32"/>
          <w:szCs w:val="32"/>
        </w:rPr>
        <w:t>加快新品种的推广应用步伐</w:t>
      </w:r>
    </w:p>
    <w:p w14:paraId="54012F68">
      <w:pPr>
        <w:widowControl w:val="0"/>
        <w:shd w:val="clear" w:color="auto" w:fill="FFFFFF"/>
        <w:spacing w:before="0" w:beforeAutospacing="0" w:after="0" w:afterAutospacing="0" w:line="540" w:lineRule="exact"/>
        <w:ind w:left="0" w:leftChars="0" w:firstLine="0" w:firstLineChars="0"/>
        <w:jc w:val="both"/>
        <w:rPr>
          <w:rFonts w:hint="eastAsia" w:ascii="宋体" w:hAnsi="宋体"/>
          <w:sz w:val="13"/>
          <w:szCs w:val="13"/>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7ADC7">
    <w:pPr>
      <w:pStyle w:val="14"/>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3D452">
                          <w:pPr>
                            <w:pStyle w:val="1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863D452">
                    <w:pPr>
                      <w:pStyle w:val="1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18DD2">
    <w:pPr>
      <w:pStyle w:val="1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EBB"/>
    <w:rsid w:val="00076E3D"/>
    <w:rsid w:val="000B2EA4"/>
    <w:rsid w:val="0010248A"/>
    <w:rsid w:val="003428DA"/>
    <w:rsid w:val="003955A9"/>
    <w:rsid w:val="003B42E7"/>
    <w:rsid w:val="00421D4B"/>
    <w:rsid w:val="004C472F"/>
    <w:rsid w:val="005D413A"/>
    <w:rsid w:val="005D771B"/>
    <w:rsid w:val="00625EBB"/>
    <w:rsid w:val="006C46DE"/>
    <w:rsid w:val="0071145B"/>
    <w:rsid w:val="008204EB"/>
    <w:rsid w:val="00846046"/>
    <w:rsid w:val="008A5D64"/>
    <w:rsid w:val="00967132"/>
    <w:rsid w:val="00BA1022"/>
    <w:rsid w:val="00BB2087"/>
    <w:rsid w:val="00CA1CB8"/>
    <w:rsid w:val="00CD1A05"/>
    <w:rsid w:val="00DB052F"/>
    <w:rsid w:val="00E56CF8"/>
    <w:rsid w:val="00E65824"/>
    <w:rsid w:val="00EC6535"/>
    <w:rsid w:val="00EE02BA"/>
    <w:rsid w:val="00F761B0"/>
    <w:rsid w:val="012D6992"/>
    <w:rsid w:val="05FB28F4"/>
    <w:rsid w:val="067B068B"/>
    <w:rsid w:val="08511B6A"/>
    <w:rsid w:val="0D103128"/>
    <w:rsid w:val="10903D8C"/>
    <w:rsid w:val="13CE65B0"/>
    <w:rsid w:val="14222E07"/>
    <w:rsid w:val="146041EE"/>
    <w:rsid w:val="15D2304E"/>
    <w:rsid w:val="19C8502F"/>
    <w:rsid w:val="1C0A7E4B"/>
    <w:rsid w:val="241E54B1"/>
    <w:rsid w:val="29A46C7B"/>
    <w:rsid w:val="2A4D2A12"/>
    <w:rsid w:val="2ACB2B3E"/>
    <w:rsid w:val="2B911481"/>
    <w:rsid w:val="2FF61FAE"/>
    <w:rsid w:val="30F32F93"/>
    <w:rsid w:val="3194131E"/>
    <w:rsid w:val="322A3D7F"/>
    <w:rsid w:val="350041D4"/>
    <w:rsid w:val="377D1EF2"/>
    <w:rsid w:val="387452F9"/>
    <w:rsid w:val="3D3B2731"/>
    <w:rsid w:val="3FED20D2"/>
    <w:rsid w:val="40D701FA"/>
    <w:rsid w:val="42D3658D"/>
    <w:rsid w:val="45717A64"/>
    <w:rsid w:val="46731A57"/>
    <w:rsid w:val="4A4469AD"/>
    <w:rsid w:val="4AAE12AF"/>
    <w:rsid w:val="4DA66C22"/>
    <w:rsid w:val="4FBA7C4E"/>
    <w:rsid w:val="51833D8F"/>
    <w:rsid w:val="52EF2933"/>
    <w:rsid w:val="542F5B16"/>
    <w:rsid w:val="56F7083B"/>
    <w:rsid w:val="5EE52F53"/>
    <w:rsid w:val="5F2D2904"/>
    <w:rsid w:val="5F5B6423"/>
    <w:rsid w:val="62CC2628"/>
    <w:rsid w:val="63397DF2"/>
    <w:rsid w:val="65973662"/>
    <w:rsid w:val="68556E02"/>
    <w:rsid w:val="6A6E2440"/>
    <w:rsid w:val="6BC06C3D"/>
    <w:rsid w:val="6BFF3F22"/>
    <w:rsid w:val="6C8803F7"/>
    <w:rsid w:val="6CD36752"/>
    <w:rsid w:val="6E4A5064"/>
    <w:rsid w:val="6E786596"/>
    <w:rsid w:val="7DA05F80"/>
    <w:rsid w:val="7E007441"/>
    <w:rsid w:val="7E2F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1"/>
      <w:szCs w:val="22"/>
      <w:lang w:val="en-US" w:eastAsia="zh-CN" w:bidi="ar-SA"/>
    </w:rPr>
  </w:style>
  <w:style w:type="paragraph" w:styleId="2">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6"/>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7"/>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szCs w:val="24"/>
    </w:rPr>
  </w:style>
  <w:style w:type="paragraph" w:styleId="7">
    <w:name w:val="heading 6"/>
    <w:basedOn w:val="1"/>
    <w:next w:val="1"/>
    <w:link w:val="28"/>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9"/>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Body Text"/>
    <w:qFormat/>
    <w:uiPriority w:val="99"/>
    <w:pPr>
      <w:widowControl w:val="0"/>
      <w:jc w:val="both"/>
    </w:pPr>
    <w:rPr>
      <w:rFonts w:ascii="Calibri" w:hAnsi="Calibri" w:eastAsia="宋体" w:cs="Times New Roman"/>
      <w:kern w:val="2"/>
      <w:sz w:val="21"/>
      <w:szCs w:val="22"/>
      <w:lang w:val="en-US" w:eastAsia="zh-CN" w:bidi="ar-SA"/>
    </w:rPr>
  </w:style>
  <w:style w:type="paragraph" w:styleId="12">
    <w:name w:val="Body Text Indent"/>
    <w:qFormat/>
    <w:uiPriority w:val="99"/>
    <w:pPr>
      <w:widowControl w:val="0"/>
      <w:spacing w:before="100" w:beforeAutospacing="1" w:after="120"/>
      <w:ind w:left="420" w:leftChars="200"/>
      <w:jc w:val="both"/>
    </w:pPr>
    <w:rPr>
      <w:rFonts w:ascii="Times New Roman" w:hAnsi="Times New Roman" w:eastAsia="宋体" w:cs="Times New Roman"/>
      <w:kern w:val="2"/>
      <w:sz w:val="21"/>
      <w:szCs w:val="22"/>
      <w:lang w:val="en-US" w:eastAsia="zh-CN" w:bidi="ar-SA"/>
    </w:rPr>
  </w:style>
  <w:style w:type="paragraph" w:styleId="13">
    <w:name w:val="Plain Text"/>
    <w:basedOn w:val="1"/>
    <w:qFormat/>
    <w:uiPriority w:val="99"/>
    <w:pPr>
      <w:widowControl w:val="0"/>
      <w:jc w:val="both"/>
    </w:pPr>
    <w:rPr>
      <w:rFonts w:ascii="Courier New" w:hAnsi="Courier New" w:eastAsia="宋体" w:cs="Courier New"/>
      <w:kern w:val="1"/>
      <w:sz w:val="21"/>
      <w:szCs w:val="22"/>
      <w:lang w:val="en-US" w:eastAsia="zh-CN" w:bidi="ar-SA"/>
    </w:rPr>
  </w:style>
  <w:style w:type="paragraph" w:styleId="14">
    <w:name w:val="footer"/>
    <w:basedOn w:val="1"/>
    <w:link w:val="42"/>
    <w:unhideWhenUsed/>
    <w:qFormat/>
    <w:uiPriority w:val="99"/>
    <w:pPr>
      <w:tabs>
        <w:tab w:val="center" w:pos="4153"/>
        <w:tab w:val="right" w:pos="8306"/>
      </w:tabs>
      <w:snapToGrid w:val="0"/>
      <w:spacing w:line="240" w:lineRule="auto"/>
      <w:jc w:val="left"/>
    </w:pPr>
    <w:rPr>
      <w:sz w:val="18"/>
      <w:szCs w:val="18"/>
    </w:rPr>
  </w:style>
  <w:style w:type="paragraph" w:styleId="15">
    <w:name w:val="header"/>
    <w:basedOn w:val="1"/>
    <w:link w:val="41"/>
    <w:unhideWhenUsed/>
    <w:qFormat/>
    <w:uiPriority w:val="99"/>
    <w:pPr>
      <w:tabs>
        <w:tab w:val="center" w:pos="4153"/>
        <w:tab w:val="right" w:pos="8306"/>
      </w:tabs>
      <w:snapToGrid w:val="0"/>
      <w:spacing w:line="240" w:lineRule="auto"/>
      <w:jc w:val="center"/>
    </w:pPr>
    <w:rPr>
      <w:sz w:val="18"/>
      <w:szCs w:val="18"/>
    </w:rPr>
  </w:style>
  <w:style w:type="paragraph" w:styleId="16">
    <w:name w:val="Subtitle"/>
    <w:basedOn w:val="1"/>
    <w:next w:val="1"/>
    <w:link w:val="33"/>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2"/>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8">
    <w:name w:val="Body Text First Indent 2"/>
    <w:qFormat/>
    <w:uiPriority w:val="99"/>
    <w:pPr>
      <w:widowControl w:val="0"/>
      <w:spacing w:before="100" w:beforeAutospacing="1" w:after="120"/>
      <w:ind w:left="420" w:leftChars="200" w:firstLine="420" w:firstLineChars="200"/>
      <w:jc w:val="both"/>
    </w:pPr>
    <w:rPr>
      <w:rFonts w:ascii="Times New Roman" w:hAnsi="Times New Roman" w:eastAsia="宋体" w:cs="Times New Roman"/>
      <w:kern w:val="2"/>
      <w:sz w:val="21"/>
      <w:szCs w:val="22"/>
      <w:lang w:val="en-US" w:eastAsia="zh-CN" w:bidi="ar-SA"/>
    </w:rPr>
  </w:style>
  <w:style w:type="table" w:styleId="2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99"/>
    <w:rPr>
      <w:rFonts w:cs="Times New Roman"/>
    </w:rPr>
  </w:style>
  <w:style w:type="character" w:customStyle="1" w:styleId="23">
    <w:name w:val="标题 1 字符"/>
    <w:basedOn w:val="21"/>
    <w:link w:val="2"/>
    <w:qFormat/>
    <w:uiPriority w:val="9"/>
    <w:rPr>
      <w:rFonts w:asciiTheme="majorHAnsi" w:hAnsiTheme="majorHAnsi" w:eastAsiaTheme="majorEastAsia" w:cstheme="majorBidi"/>
      <w:color w:val="2F5597" w:themeColor="accent1" w:themeShade="BF"/>
      <w:sz w:val="48"/>
      <w:szCs w:val="48"/>
    </w:rPr>
  </w:style>
  <w:style w:type="character" w:customStyle="1" w:styleId="24">
    <w:name w:val="标题 2 字符"/>
    <w:basedOn w:val="21"/>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5">
    <w:name w:val="标题 3 字符"/>
    <w:basedOn w:val="21"/>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6">
    <w:name w:val="标题 4 字符"/>
    <w:basedOn w:val="21"/>
    <w:link w:val="5"/>
    <w:semiHidden/>
    <w:qFormat/>
    <w:uiPriority w:val="9"/>
    <w:rPr>
      <w:rFonts w:cstheme="majorBidi"/>
      <w:color w:val="2F5597" w:themeColor="accent1" w:themeShade="BF"/>
      <w:sz w:val="28"/>
      <w:szCs w:val="28"/>
    </w:rPr>
  </w:style>
  <w:style w:type="character" w:customStyle="1" w:styleId="27">
    <w:name w:val="标题 5 字符"/>
    <w:basedOn w:val="21"/>
    <w:link w:val="6"/>
    <w:semiHidden/>
    <w:qFormat/>
    <w:uiPriority w:val="9"/>
    <w:rPr>
      <w:rFonts w:cstheme="majorBidi"/>
      <w:color w:val="2F5597" w:themeColor="accent1" w:themeShade="BF"/>
      <w:sz w:val="24"/>
      <w:szCs w:val="24"/>
    </w:rPr>
  </w:style>
  <w:style w:type="character" w:customStyle="1" w:styleId="28">
    <w:name w:val="标题 6 字符"/>
    <w:basedOn w:val="21"/>
    <w:link w:val="7"/>
    <w:semiHidden/>
    <w:qFormat/>
    <w:uiPriority w:val="9"/>
    <w:rPr>
      <w:rFonts w:cstheme="majorBidi"/>
      <w:b/>
      <w:bCs/>
      <w:color w:val="2F5597" w:themeColor="accent1" w:themeShade="BF"/>
    </w:rPr>
  </w:style>
  <w:style w:type="character" w:customStyle="1" w:styleId="29">
    <w:name w:val="标题 7 字符"/>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1"/>
    <w:link w:val="17"/>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1"/>
    <w:link w:val="34"/>
    <w:qFormat/>
    <w:uiPriority w:val="29"/>
    <w:rPr>
      <w:rFonts w:ascii="Times New Roman" w:hAnsi="Times New Roman" w:eastAsia="宋体"/>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21"/>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明显引用 字符"/>
    <w:basedOn w:val="21"/>
    <w:link w:val="38"/>
    <w:qFormat/>
    <w:uiPriority w:val="30"/>
    <w:rPr>
      <w:rFonts w:ascii="Times New Roman" w:hAnsi="Times New Roman" w:eastAsia="宋体"/>
      <w:i/>
      <w:iCs/>
      <w:color w:val="2F5597" w:themeColor="accent1" w:themeShade="BF"/>
    </w:rPr>
  </w:style>
  <w:style w:type="character" w:customStyle="1" w:styleId="40">
    <w:name w:val="Intense Reference"/>
    <w:basedOn w:val="21"/>
    <w:qFormat/>
    <w:uiPriority w:val="32"/>
    <w:rPr>
      <w:b/>
      <w:bCs/>
      <w:smallCaps/>
      <w:color w:val="2F5597" w:themeColor="accent1" w:themeShade="BF"/>
      <w:spacing w:val="5"/>
    </w:rPr>
  </w:style>
  <w:style w:type="character" w:customStyle="1" w:styleId="41">
    <w:name w:val="页眉 字符"/>
    <w:basedOn w:val="21"/>
    <w:link w:val="15"/>
    <w:qFormat/>
    <w:uiPriority w:val="99"/>
    <w:rPr>
      <w:rFonts w:ascii="Times New Roman" w:hAnsi="Times New Roman" w:eastAsia="宋体"/>
      <w:sz w:val="18"/>
      <w:szCs w:val="18"/>
    </w:rPr>
  </w:style>
  <w:style w:type="character" w:customStyle="1" w:styleId="42">
    <w:name w:val="页脚 字符"/>
    <w:basedOn w:val="21"/>
    <w:link w:val="14"/>
    <w:qFormat/>
    <w:uiPriority w:val="99"/>
    <w:rPr>
      <w:rFonts w:ascii="Times New Roman" w:hAnsi="Times New Roman" w:eastAsia="宋体"/>
      <w:sz w:val="18"/>
      <w:szCs w:val="18"/>
    </w:rPr>
  </w:style>
  <w:style w:type="paragraph" w:customStyle="1" w:styleId="43">
    <w:name w:val="txt"/>
    <w:qFormat/>
    <w:uiPriority w:val="99"/>
    <w:pPr>
      <w:widowControl/>
      <w:spacing w:before="100" w:beforeAutospacing="1" w:after="100" w:afterAutospacing="1"/>
      <w:jc w:val="left"/>
    </w:pPr>
    <w:rPr>
      <w:rFonts w:ascii="宋体" w:hAnsi="宋体" w:eastAsia="宋体" w:cs="宋体"/>
      <w:kern w:val="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2835</Words>
  <Characters>3042</Characters>
  <Lines>10</Lines>
  <Paragraphs>2</Paragraphs>
  <TotalTime>7</TotalTime>
  <ScaleCrop>false</ScaleCrop>
  <LinksUpToDate>false</LinksUpToDate>
  <CharactersWithSpaces>3042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2026-03-01T15:22:00Z</dcterms:created>
  <dc:creator>凯东 崔</dc:creator>
  <cp:lastModifiedBy>誰涫沵堔凊姒嗨</cp:lastModifiedBy>
  <cp:lastPrinted>2026-03-05T03:11:00Z</cp:lastPrinted>
  <dcterms:modified xsi:type="dcterms:W3CDTF">2026-03-09T10:00:16Z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eyJoZGlkIjoiOGZmMmY1NjU5YmRkYWVjMmQwOThhNDFjNWZiYTA1MzkiLCJ1c2VySWQiOiIxMDE5MjA4OTAxIn0=</vt:lpwstr>
  </property>
  <property fmtid="{D5CDD505-2E9C-101B-9397-08002B2CF9AE}" pid="3" name="KSOProductBuildVer">
    <vt:lpwstr>2052-12.1.0.25225</vt:lpwstr>
  </property>
  <property fmtid="{D5CDD505-2E9C-101B-9397-08002B2CF9AE}" pid="4" name="ICV">
    <vt:lpwstr>5FB4754D020A4A8D8E8B1E50775A051C_12</vt:lpwstr>
  </property>
</Properties>
</file>