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s>
        <w:spacing w:line="500" w:lineRule="exact"/>
        <w:jc w:val="left"/>
        <w:rPr>
          <w:rFonts w:ascii="黑体" w:hAnsi="黑体" w:eastAsia="黑体" w:cs="黑体"/>
          <w:sz w:val="32"/>
          <w:szCs w:val="32"/>
        </w:rPr>
      </w:pP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r>
        <w:rPr>
          <w:rFonts w:hint="eastAsia" w:ascii="黑体" w:hAnsi="黑体" w:eastAsia="黑体" w:cs="黑体"/>
          <w:sz w:val="32"/>
          <w:szCs w:val="32"/>
        </w:rPr>
        <w:t>附件3</w:t>
      </w:r>
    </w:p>
    <w:p>
      <w:pPr>
        <w:tabs>
          <w:tab w:val="left" w:pos="5040"/>
        </w:tabs>
        <w:spacing w:line="500" w:lineRule="exact"/>
        <w:ind w:firstLine="720"/>
        <w:jc w:val="center"/>
        <w:rPr>
          <w:rFonts w:ascii="Times New Roman" w:hAnsi="Times New Roman" w:eastAsia="方正小标宋简体"/>
          <w:sz w:val="36"/>
          <w:szCs w:val="36"/>
        </w:rPr>
      </w:pPr>
      <w:r>
        <w:rPr>
          <w:rFonts w:hint="eastAsia" w:ascii="Times New Roman" w:hAnsi="Times New Roman" w:eastAsia="方正小标宋简体"/>
          <w:sz w:val="36"/>
          <w:szCs w:val="36"/>
        </w:rPr>
        <w:t>评价办法</w:t>
      </w:r>
    </w:p>
    <w:p>
      <w:pPr>
        <w:tabs>
          <w:tab w:val="left" w:pos="5040"/>
        </w:tabs>
        <w:spacing w:line="500" w:lineRule="exact"/>
        <w:ind w:firstLine="720"/>
        <w:jc w:val="center"/>
        <w:rPr>
          <w:rFonts w:ascii="Times New Roman" w:hAnsi="Times New Roman" w:eastAsia="方正小标宋简体"/>
          <w:sz w:val="36"/>
          <w:szCs w:val="36"/>
        </w:rPr>
      </w:pPr>
    </w:p>
    <w:p>
      <w:pPr>
        <w:spacing w:line="620" w:lineRule="exact"/>
        <w:ind w:firstLine="596"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本次询价采购采用综合评估的方法确定询价中标单位。最终得分由报价得分（30分）、设施设备得分（20分）、业绩得分（20分）、人员结构得分（20分）、商务得分（10分）5部分组成，满分100分，得分最高者为中标人单位。</w:t>
      </w:r>
    </w:p>
    <w:p>
      <w:pPr>
        <w:tabs>
          <w:tab w:val="left" w:pos="5040"/>
        </w:tabs>
        <w:spacing w:line="500" w:lineRule="exact"/>
        <w:ind w:firstLine="720"/>
        <w:jc w:val="center"/>
        <w:rPr>
          <w:rFonts w:ascii="Times New Roman" w:hAnsi="Times New Roman" w:eastAsia="方正小标宋简体"/>
          <w:sz w:val="36"/>
          <w:szCs w:val="36"/>
        </w:rPr>
      </w:pPr>
    </w:p>
    <w:tbl>
      <w:tblPr>
        <w:tblStyle w:val="5"/>
        <w:tblW w:w="9322" w:type="dxa"/>
        <w:tblInd w:w="0" w:type="dxa"/>
        <w:tblLayout w:type="fixed"/>
        <w:tblCellMar>
          <w:top w:w="0" w:type="dxa"/>
          <w:left w:w="108" w:type="dxa"/>
          <w:bottom w:w="0" w:type="dxa"/>
          <w:right w:w="108" w:type="dxa"/>
        </w:tblCellMar>
      </w:tblPr>
      <w:tblGrid>
        <w:gridCol w:w="1245"/>
        <w:gridCol w:w="6090"/>
        <w:gridCol w:w="1987"/>
      </w:tblGrid>
      <w:tr>
        <w:tblPrEx>
          <w:tblCellMar>
            <w:top w:w="0" w:type="dxa"/>
            <w:left w:w="108" w:type="dxa"/>
            <w:bottom w:w="0" w:type="dxa"/>
            <w:right w:w="108" w:type="dxa"/>
          </w:tblCellMar>
        </w:tblPrEx>
        <w:trPr>
          <w:trHeight w:val="934"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类别</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评分要素</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满分值</w:t>
            </w:r>
          </w:p>
        </w:tc>
      </w:tr>
      <w:tr>
        <w:tblPrEx>
          <w:tblCellMar>
            <w:top w:w="0" w:type="dxa"/>
            <w:left w:w="108" w:type="dxa"/>
            <w:bottom w:w="0" w:type="dxa"/>
            <w:right w:w="108" w:type="dxa"/>
          </w:tblCellMar>
        </w:tblPrEx>
        <w:trPr>
          <w:trHeight w:val="1489"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报价得分</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本次询价采购，以各参与单位询价报价的单价算术平均值作为评分基准价计算各参与单位的报价得分。参与报价单位超过5家及以上的算术平均值，采用去掉一个最高和一个最低报价计算方法。价格分计算方法：与评标基准价相比，每增加1%扣0.5分，每减少1%扣0.2分，最多扣25分。</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30</w:t>
            </w:r>
            <w:r>
              <w:rPr>
                <w:rFonts w:ascii="Times New Roman" w:hAnsi="宋体" w:eastAsia="宋体"/>
                <w:b/>
                <w:bCs/>
                <w:color w:val="000000"/>
                <w:kern w:val="0"/>
                <w:sz w:val="22"/>
              </w:rPr>
              <w:t>分</w:t>
            </w:r>
          </w:p>
        </w:tc>
      </w:tr>
      <w:tr>
        <w:tblPrEx>
          <w:tblCellMar>
            <w:top w:w="0" w:type="dxa"/>
            <w:left w:w="108" w:type="dxa"/>
            <w:bottom w:w="0" w:type="dxa"/>
            <w:right w:w="108" w:type="dxa"/>
          </w:tblCellMar>
        </w:tblPrEx>
        <w:trPr>
          <w:trHeight w:val="1529"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类似业绩</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参加询价单位近三年（2020-2022年）承担过政府肥料质量检测项目的，部级1次得3分，省级1次得2分，市、县级得1分，本项最高得20分；没有不得分。（须提供合同或中标通知书等复印件，原件备查）</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jc w:val="center"/>
              <w:rPr>
                <w:rFonts w:ascii="Times New Roman" w:hAnsi="Times New Roman" w:eastAsia="宋体"/>
                <w:b/>
                <w:bCs/>
                <w:color w:val="000000"/>
                <w:kern w:val="0"/>
                <w:sz w:val="22"/>
              </w:rPr>
            </w:pPr>
            <w:r>
              <w:rPr>
                <w:rFonts w:hint="eastAsia" w:ascii="Times New Roman" w:hAnsi="Times New Roman"/>
                <w:b/>
                <w:bCs/>
                <w:color w:val="000000"/>
                <w:kern w:val="0"/>
                <w:sz w:val="22"/>
              </w:rPr>
              <w:t>20</w:t>
            </w:r>
            <w:r>
              <w:rPr>
                <w:rFonts w:ascii="Times New Roman" w:hAnsi="宋体" w:eastAsia="宋体"/>
                <w:b/>
                <w:bCs/>
                <w:color w:val="000000"/>
                <w:kern w:val="0"/>
                <w:sz w:val="22"/>
              </w:rPr>
              <w:t>分</w:t>
            </w:r>
          </w:p>
        </w:tc>
      </w:tr>
      <w:tr>
        <w:tblPrEx>
          <w:tblCellMar>
            <w:top w:w="0" w:type="dxa"/>
            <w:left w:w="108" w:type="dxa"/>
            <w:bottom w:w="0" w:type="dxa"/>
            <w:right w:w="108" w:type="dxa"/>
          </w:tblCellMar>
        </w:tblPrEx>
        <w:trPr>
          <w:trHeight w:val="1459"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设施设备</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提供的主要检测设备能够满足产品标准检测要求并通过计量鉴定的,得20分(须提供检测设备型号、购置年限、生产厂家、鉴定证明等</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 主要检测设备能够基本满足产品标准检测要求，并通过计量鉴定的,得1</w:t>
            </w:r>
            <w:r>
              <w:rPr>
                <w:rFonts w:ascii="仿宋_GB2312" w:hAnsi="仿宋_GB2312" w:eastAsia="仿宋_GB2312" w:cs="仿宋_GB2312"/>
                <w:sz w:val="18"/>
                <w:szCs w:val="18"/>
              </w:rPr>
              <w:t>0</w:t>
            </w:r>
            <w:r>
              <w:rPr>
                <w:rFonts w:hint="eastAsia" w:ascii="仿宋_GB2312" w:hAnsi="仿宋_GB2312" w:eastAsia="仿宋_GB2312" w:cs="仿宋_GB2312"/>
                <w:sz w:val="18"/>
                <w:szCs w:val="18"/>
              </w:rPr>
              <w:t>分；主要检测设备不能满足产品标准检测要求，未通过计量鉴定的,不得分。</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jc w:val="center"/>
              <w:rPr>
                <w:rFonts w:ascii="Times New Roman" w:hAnsi="Times New Roman" w:eastAsia="宋体"/>
                <w:b/>
                <w:bCs/>
                <w:color w:val="000000"/>
                <w:kern w:val="0"/>
                <w:sz w:val="22"/>
              </w:rPr>
            </w:pPr>
            <w:r>
              <w:rPr>
                <w:rFonts w:hint="eastAsia" w:ascii="Times New Roman" w:hAnsi="Times New Roman"/>
                <w:b/>
                <w:bCs/>
                <w:color w:val="000000"/>
                <w:kern w:val="0"/>
                <w:sz w:val="22"/>
              </w:rPr>
              <w:t>20分</w:t>
            </w:r>
          </w:p>
        </w:tc>
      </w:tr>
      <w:tr>
        <w:tblPrEx>
          <w:tblCellMar>
            <w:top w:w="0" w:type="dxa"/>
            <w:left w:w="108" w:type="dxa"/>
            <w:bottom w:w="0" w:type="dxa"/>
            <w:right w:w="108" w:type="dxa"/>
          </w:tblCellMar>
        </w:tblPrEx>
        <w:trPr>
          <w:trHeight w:val="1559"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人员结构</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参加询价单位人员结构合理，涵盖财会、农学、化工、检测、项目管理等专业，绩效评价相关经验丰富，人员数量达到10人以上的得20分，5-9人的得15分，5人（不含）以下的不得分。（须提供人员名单及学历学位、职称、身份证复印件、社保缴纳等证明材料）</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jc w:val="center"/>
              <w:rPr>
                <w:rFonts w:ascii="Times New Roman" w:hAnsi="Times New Roman" w:eastAsia="宋体"/>
                <w:b/>
                <w:bCs/>
                <w:color w:val="000000"/>
                <w:kern w:val="0"/>
                <w:sz w:val="22"/>
              </w:rPr>
            </w:pPr>
            <w:r>
              <w:rPr>
                <w:rFonts w:hint="eastAsia" w:ascii="Times New Roman" w:hAnsi="Times New Roman"/>
                <w:b/>
                <w:bCs/>
                <w:color w:val="000000"/>
                <w:kern w:val="0"/>
                <w:sz w:val="22"/>
              </w:rPr>
              <w:t>20分</w:t>
            </w:r>
          </w:p>
        </w:tc>
      </w:tr>
      <w:tr>
        <w:tblPrEx>
          <w:tblCellMar>
            <w:top w:w="0" w:type="dxa"/>
            <w:left w:w="108" w:type="dxa"/>
            <w:bottom w:w="0" w:type="dxa"/>
            <w:right w:w="108" w:type="dxa"/>
          </w:tblCellMar>
        </w:tblPrEx>
        <w:trPr>
          <w:trHeight w:val="1494"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商务评分</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提供的项目报价单（原件）、诚信服务承诺书（原件）、企业营业执照副本（复印件）、法定代表人身份证明或授权委托人身份证明（复印件）、法定代表人授权委托书（如有授权，原件）、资质认定证书（复印件）等询价资料齐全，并加盖询价企业的公章。</w:t>
            </w:r>
          </w:p>
        </w:tc>
        <w:tc>
          <w:tcPr>
            <w:tcW w:w="1987" w:type="dxa"/>
            <w:tcBorders>
              <w:top w:val="single" w:color="auto" w:sz="4" w:space="0"/>
              <w:left w:val="single" w:color="auto" w:sz="4" w:space="0"/>
              <w:bottom w:val="single" w:color="auto" w:sz="4" w:space="0"/>
              <w:right w:val="single" w:color="auto" w:sz="4" w:space="0"/>
            </w:tcBorders>
            <w:vAlign w:val="center"/>
          </w:tcPr>
          <w:p>
            <w:pPr>
              <w:widowControl/>
              <w:spacing w:line="140" w:lineRule="atLeast"/>
              <w:jc w:val="center"/>
              <w:rPr>
                <w:rFonts w:ascii="Times New Roman" w:hAnsi="Times New Roman"/>
                <w:b/>
                <w:bCs/>
                <w:color w:val="000000"/>
                <w:kern w:val="0"/>
                <w:sz w:val="22"/>
              </w:rPr>
            </w:pPr>
            <w:r>
              <w:rPr>
                <w:rFonts w:hint="eastAsia" w:ascii="Times New Roman" w:hAnsi="Times New Roman"/>
                <w:b/>
                <w:bCs/>
                <w:color w:val="000000"/>
                <w:kern w:val="0"/>
                <w:sz w:val="22"/>
              </w:rPr>
              <w:t>10</w:t>
            </w:r>
            <w:r>
              <w:rPr>
                <w:rFonts w:ascii="Times New Roman" w:hAnsi="宋体" w:eastAsia="宋体"/>
                <w:b/>
                <w:bCs/>
                <w:color w:val="000000"/>
                <w:kern w:val="0"/>
                <w:sz w:val="22"/>
              </w:rPr>
              <w:t>分</w:t>
            </w:r>
          </w:p>
        </w:tc>
      </w:tr>
    </w:tbl>
    <w:p/>
    <w:p>
      <w:pPr>
        <w:rPr>
          <w:rFonts w:hint="default" w:ascii="Times New Roman" w:hAnsi="Times New Roman" w:eastAsia="仿宋_GB2312" w:cs="Times New Roman"/>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CE"/>
    <w:rsid w:val="000C1C6D"/>
    <w:rsid w:val="002147CE"/>
    <w:rsid w:val="00337FE9"/>
    <w:rsid w:val="00357BCA"/>
    <w:rsid w:val="00377400"/>
    <w:rsid w:val="003C06E3"/>
    <w:rsid w:val="003C2734"/>
    <w:rsid w:val="006C22DF"/>
    <w:rsid w:val="00705481"/>
    <w:rsid w:val="00751310"/>
    <w:rsid w:val="007A7CCF"/>
    <w:rsid w:val="007E7844"/>
    <w:rsid w:val="00934946"/>
    <w:rsid w:val="009E693B"/>
    <w:rsid w:val="00A166BE"/>
    <w:rsid w:val="00B9707D"/>
    <w:rsid w:val="00CB303E"/>
    <w:rsid w:val="00D956F9"/>
    <w:rsid w:val="00E660BD"/>
    <w:rsid w:val="00EC74B2"/>
    <w:rsid w:val="00F60492"/>
    <w:rsid w:val="00FB0EC8"/>
    <w:rsid w:val="16720550"/>
    <w:rsid w:val="FB6E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262</Words>
  <Characters>1500</Characters>
  <Lines>12</Lines>
  <Paragraphs>3</Paragraphs>
  <TotalTime>1</TotalTime>
  <ScaleCrop>false</ScaleCrop>
  <LinksUpToDate>false</LinksUpToDate>
  <CharactersWithSpaces>1759</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2024-03-22T15:07:00Z</dcterms:created>
  <dc:creator>wfj</dc:creator>
  <cp:lastModifiedBy>UOS</cp:lastModifiedBy>
  <cp:lastPrinted>2024-03-25T15:10:00Z</cp:lastPrinted>
  <dcterms:modified xsi:type="dcterms:W3CDTF">2024-03-25T16:23:24Z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4824D726F77DCB1B7C340166D5AE003E</vt:lpwstr>
  </property>
</Properties>
</file>