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2024年甘肃省审定品种同一适宜生态区引种备案目录（第一批）</w:t>
      </w:r>
    </w:p>
    <w:tbl>
      <w:tblPr>
        <w:tblStyle w:val="6"/>
        <w:tblW w:w="15295"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713"/>
        <w:gridCol w:w="1197"/>
        <w:gridCol w:w="2938"/>
        <w:gridCol w:w="2936"/>
        <w:gridCol w:w="1500"/>
        <w:gridCol w:w="2785"/>
        <w:gridCol w:w="2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hint="eastAsia" w:eastAsia="仿宋"/>
                <w:sz w:val="24"/>
                <w:lang w:bidi="ar"/>
              </w:rPr>
            </w:pPr>
            <w:r>
              <w:rPr>
                <w:rStyle w:val="7"/>
                <w:rFonts w:hint="default" w:ascii="Times New Roman" w:hAnsi="Times New Roman" w:eastAsia="仿宋" w:cs="Times New Roman"/>
                <w:color w:val="auto"/>
                <w:sz w:val="24"/>
                <w:szCs w:val="24"/>
                <w:lang w:bidi="ar"/>
              </w:rPr>
              <w:t>1</w:t>
            </w:r>
          </w:p>
        </w:tc>
        <w:tc>
          <w:tcPr>
            <w:tcW w:w="713"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小麦</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长8744</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山西大槐种业有限公司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山西省农业科学院谷子研究所</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晋审麦2011003</w:t>
            </w:r>
          </w:p>
        </w:tc>
        <w:tc>
          <w:tcPr>
            <w:tcW w:w="2785" w:type="dxa"/>
            <w:vAlign w:val="center"/>
          </w:tcPr>
          <w:p>
            <w:pPr>
              <w:widowControl/>
              <w:spacing w:line="440" w:lineRule="exac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甘肃省中部冬麦品种类型区的定西、白银及陇东冬麦品种类型区的庆阳、平凉旱地推广种植</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中感条锈病，高感白粉病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hint="eastAsia" w:eastAsia="仿宋"/>
                <w:sz w:val="24"/>
                <w:lang w:bidi="ar"/>
              </w:rPr>
            </w:pPr>
            <w:r>
              <w:rPr>
                <w:rStyle w:val="7"/>
                <w:rFonts w:hint="default" w:ascii="Times New Roman" w:hAnsi="Times New Roman" w:eastAsia="仿宋" w:cs="Times New Roman"/>
                <w:color w:val="auto"/>
                <w:sz w:val="24"/>
                <w:szCs w:val="24"/>
                <w:lang w:bidi="ar"/>
              </w:rPr>
              <w:t>2</w:t>
            </w:r>
          </w:p>
        </w:tc>
        <w:tc>
          <w:tcPr>
            <w:tcW w:w="713" w:type="dxa"/>
            <w:vAlign w:val="center"/>
          </w:tcPr>
          <w:p>
            <w:pPr>
              <w:widowControl/>
              <w:spacing w:line="440" w:lineRule="exact"/>
              <w:jc w:val="center"/>
              <w:textAlignment w:val="center"/>
              <w:rPr>
                <w:rFonts w:hint="eastAsia" w:ascii="黑体" w:hAnsi="黑体" w:eastAsia="黑体"/>
                <w:sz w:val="24"/>
              </w:rPr>
            </w:pPr>
            <w:r>
              <w:rPr>
                <w:rFonts w:hint="eastAsia" w:ascii="仿宋" w:hAnsi="仿宋" w:eastAsia="仿宋" w:cs="仿宋"/>
                <w:kern w:val="0"/>
                <w:sz w:val="24"/>
                <w:lang w:bidi="ar"/>
              </w:rPr>
              <w:t>小麦</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宁春54号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武威丰田种业有限责任公司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永宁县农作物种子繁育所</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宁审麦20160001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甘肃省河西水地品种类型区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感条锈病，高感白粉病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hint="eastAsia" w:eastAsia="仿宋"/>
                <w:sz w:val="24"/>
                <w:lang w:bidi="ar"/>
              </w:rPr>
            </w:pPr>
            <w:r>
              <w:rPr>
                <w:rStyle w:val="7"/>
                <w:rFonts w:hint="default" w:ascii="Times New Roman" w:hAnsi="Times New Roman" w:eastAsia="仿宋" w:cs="Times New Roman"/>
                <w:color w:val="auto"/>
                <w:sz w:val="24"/>
                <w:szCs w:val="24"/>
                <w:lang w:bidi="ar"/>
              </w:rPr>
              <w:t>3</w:t>
            </w:r>
          </w:p>
        </w:tc>
        <w:tc>
          <w:tcPr>
            <w:tcW w:w="713" w:type="dxa"/>
            <w:vAlign w:val="center"/>
          </w:tcPr>
          <w:p>
            <w:pPr>
              <w:widowControl/>
              <w:spacing w:line="440" w:lineRule="exact"/>
              <w:jc w:val="center"/>
              <w:textAlignment w:val="center"/>
              <w:rPr>
                <w:rFonts w:hint="eastAsia" w:ascii="黑体" w:hAnsi="黑体" w:eastAsia="黑体"/>
                <w:sz w:val="24"/>
              </w:rPr>
            </w:pPr>
            <w:r>
              <w:rPr>
                <w:rFonts w:hint="eastAsia" w:ascii="仿宋" w:hAnsi="仿宋" w:eastAsia="仿宋" w:cs="仿宋"/>
                <w:kern w:val="0"/>
                <w:sz w:val="24"/>
                <w:lang w:bidi="ar"/>
              </w:rPr>
              <w:t>小麦</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宁春55号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甘肃瑞丰种业有限公司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宁夏农林科学院农作物研究所</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宁审麦 20170001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甘肃省河西水地品种类型区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中感锈病，高感白粉病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益嘉丰138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甘肃六和农业有限公司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山西益嘉丰农业开发有限公司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晋审玉20190051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丰硕599</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甘肃六和农业有限公司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阳高县晋阳玉米研究所</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晋审玉20200010</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红哥20</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山西美锋种业有限公司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晋审玉20220114</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精航507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山西恒玉种业科技有限公司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晋审玉20220073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龙生307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晋审玉20220113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龙生318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晋审玉20210082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龙生802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ascii="仿宋" w:hAnsi="仿宋" w:eastAsia="仿宋" w:cs="仿宋"/>
                <w:kern w:val="0"/>
                <w:sz w:val="24"/>
                <w:lang w:bidi="ar"/>
              </w:rPr>
              <w:t>山西金穗玉丰种业有限公司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晋审玉20210110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登海1912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ascii="仿宋" w:hAnsi="仿宋" w:eastAsia="仿宋" w:cs="仿宋"/>
                <w:kern w:val="0"/>
                <w:sz w:val="24"/>
                <w:lang w:bidi="ar"/>
              </w:rPr>
              <w:t>辽宁登海种业有限公司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辽宁登海种业有限公司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辽审玉20210026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F15A</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吉林省堉鑫种业有限公司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阜新市志强种子研究所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辽审玉20220198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鼎晟328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铁岭金玉源种业有限公司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昌图鼎晟农业科技有限公司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辽审玉20220044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ZX205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铁岭宝源种业有限公司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铁岭增玉种子技术研究有限公司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辽审玉20220101</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泽亿81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铁岭宝源种业有限公司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铁岭市银州区泽亿农业技术推广中心</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辽审玉20200030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T1623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辽宁嘉钰种业科技有限公司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铁岭市农业科学院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辽审玉20210037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LD1号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铁岭天丰农业科技有限公司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沈阳市法库农业科学院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辽审玉20220055</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T3108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铁岭天丰农业科技有限公司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铁岭丰盛宇禾种业有限公司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辽审玉20220041</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DK339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北京中农大康科技开发有限公司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 北京中农大康科技开发有限公司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吉审玉20210064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科沃028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山西晋沃农业科技有限公司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科沃施种子欧洲股份两合公司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晋审玉20220028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S8006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通辽市润晟种业有限责任公司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中种国际种子有限公司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蒙审玉2020008号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K玉988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内蒙古宏博种业科技有限公司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内蒙古宏博种业科技有限公司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蒙审玉2020002号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b/>
                <w:bCs/>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b/>
                <w:bCs/>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b/>
                <w:bCs/>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b/>
                <w:bCs/>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b/>
                <w:bCs/>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b/>
                <w:bCs/>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b/>
                <w:bCs/>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b/>
                <w:bCs/>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宏途835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辽宁宏硕种业科技有限公司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辽宁宏硕种业科技有限公司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辽审玉20210058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K玉788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内蒙古宏博种业科技有限公司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内蒙古宏博种业科技有限公司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蒙审玉2021123号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黄玉1802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赤峰蒙峰农业科技发展有限公司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内蒙古国栋农业科学研究院 北京裕登天华农业科技发展中心</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蒙审玉2021112号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锦润968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辽宁锦润种业有限公司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辽宁锦润种业有限公司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辽审玉20220058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运单74</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山西沃达丰农业科技股份有限公司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山西农业大学棉花研究所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晋审玉20220077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峰单192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蒙审玉2022084号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29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中作719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甘肃中作农业科技股份有限公司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甘肃中作农业科技股份有限公司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宁审玉20220016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瑞普121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庆阳市广丰种业科技开发有限公司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山西农业大学玉米研究所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晋审玉20230031</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艾克信21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庆阳市广丰种业科技开发有限公司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四平沃尔丰农业科技开发有限公司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吉审玉20220085</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艾克信16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吉林康庄大道农业发展有限公司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四平沃尔丰农业科技开发有限公司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吉审玉20220100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东农256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东北农业大学</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蒙认玉2016003号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M5005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蒙审玉2021061号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中正107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黑龙江众鑫农业科技开发有限公司 黑龙江中正农业发展有限公司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黑审玉2022L0046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中垠5187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沈阳市法库农业科学院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辽审玉20220054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宁单51号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宁夏农林科学院农作物研究所/国家玉米产业技术体系银川综合试验站和黑龙江省中邦农业有限公司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宁审玉20190006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38</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DK987</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北京中邦金雨国际农业生物科技有限责任公司 新疆中淼农业有限公司 黑龙江中邦金雨农业有限公司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蒙审玉2023016号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39</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中吉2550</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黑龙江省中邦农业有限公司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蒙审玉2022061号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40</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金粒1701</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新疆粒粒金种业有限公司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新疆粒粒金种业有限公司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新审玉2022年095号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41</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金粒1702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新疆粒粒金种业有限公司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新疆粒粒金种业有限公司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新审玉2022年096号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高感腐霉茎腐病，高感禾谷镰孢穗腐病，高感丝黑穗病，高感大斑病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42</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TD1188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新疆农润种业有限责任公司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北京大德长丰农业生物技术有限公司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蒙审玉2022066号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高感禾谷镰孢穗腐病，感丝黑穗病，感大斑病,高感瘤黑粉病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43</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蠡单62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新疆农润种业有限责任公司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石家庄蠡玉科技开发有限公司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蒙审玉2021131号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感禾谷镰孢穗腐病，感丝黑穗病，感大斑病,高感瘤黑粉病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九玉禾364</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辽宁九圣禾郁青种业有限公司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海南九圣禾农业科学研究院有限公司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蒙审玉2022035号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45</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郁青501</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辽宁九圣禾郁青种业有限公司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辽宁九圣禾郁青种业有限公司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辽审玉20230189</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46</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东农281</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黑龙江省金色北农种业科技有限公司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东北农业大学</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黑审玉20200025</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47</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航研8533</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山东银汇嘉禾农业生物技术有限公司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山东银汇嘉禾农业生物技术有限公司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蒙审玉2023048号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48</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航研9578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山东银汇嘉禾农业生物技术有限公司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山东银汇嘉禾农业生物技术有限公司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蒙审玉2023063号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49</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科沃846</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新疆华夏农业有限公司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KWS SAAT SE &amp; Co. KGaA</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新审玉2022年104号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50</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先玉1219</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敦煌种业先锋良种有限公司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铁岭先锋种子研究有限公司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蒙审玉2015004号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51</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威卡1169</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山西中农容玉种业有限责任公司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山西中农容玉种业有限责任公司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晋审玉20210101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兰库8165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山西中农容玉种业有限责任公司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山西中农容玉种业有限责任公司 北京中农同丰农业科技有限公司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陕审玉20220002号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博赟88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江苏省大华种业集团有限公司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河南耕誉农业科技有限公司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陕审玉20220096号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甘肃省作春播青贮玉米种植</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鲁单9088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安徽华成种业股份有限公司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安徽华成种业股份有限公司 山东省农业科学研究院玉米研究所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陕审玉20220015号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A677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辽审玉20180080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金禾111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辽审玉20210140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金禾987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辽审玉20210127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金禾3000</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辽审玉20200089</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59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A668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辽审玉20210134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K11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开原市宏大农业科技发展有限公司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辽审玉20200090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D399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辽审玉20180069</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K12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辽审玉20210133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大澳A8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 沈阳辽华生态农业有限公司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辽审玉20180150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大澳A9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辽宁金禾伟业种子有限公司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辽审玉20180074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锦育1302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宁夏根来福种业有限公司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宁夏锦育种业有限责任公司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宁审玉2019L022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晋博玉181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山西润农种业股份有限公司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晋城市润农种业有限公司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晋审玉20210077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宁玉源8号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宁夏农垦贺兰山种业有限公司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宁夏科泰种业有限公司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宁审玉2020L025</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68</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王太094</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宁夏农垦贺兰山种业有限公司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宁夏科泰种业有限公司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宁审玉2022L036</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高感腐霉茎腐病，高感禾谷镰孢穗腐病，感丝黑穗病，高感大斑病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69</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王太18号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宁夏农垦贺兰山种业有限公司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宁夏科泰种业有限公司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宁审玉2021L016</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70</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黄金玉9号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山西恒玉种业科技有限公司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山西恒玉种业科技有限公司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晋审玉20230027</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71</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恒玉78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山西恒玉种业科技有限公司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山西恒玉种业科技有限公司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晋审玉20230083</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72</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龙生316</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晋审玉20230081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73</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兴隆808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晋中龙生种业有限公司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晋审玉20230037</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科沃868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新疆华西种业有限公司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KWS SAAT SE &amp; Co. KGaA</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新审玉2022年117号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翔糯1号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吉林省鸿翔农业集团鸿翔种业有限公司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吉林省鸿翔农业集团鸿翔种业有限公司 吉林省鸿翔农业集团优迪食品有限公司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吉审玉20226003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甘肃省鲜食玉米类型区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HA9306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吉林省鸿翔农业集团鸿翔种业有限公司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吉林省鸿翔农业集团鸿翔种业有限公司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吉审玉20236006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吉单63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吉林省鸿翔农业集团鸿翔种业有限公司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吉审玉20210034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高兴998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山西高兴农业科技有限公司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山西农业大学 山西高兴农业科技有限公司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晋审玉20220007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79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润玉3089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哈尔滨东北丰种子有限公司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MAS SEEDS</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蒙审玉2021038号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雨禾2号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葫芦岛市种业有限责任公司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葫芦岛市种业有限责任公司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蒙审玉（饲）2018020号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甘肃省作春播青贮玉米种植</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亚舟888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四川万德科技有限公司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四川万德科技有限公司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宁审玉20220021</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通玉9582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甘肃德光农业有限公司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通化市农业科学研究院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吉审玉2015003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大唐136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陕西大唐种业股份有限公司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陕西大唐种业股份有限公司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陕审玉20220094号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甘肃省作春播青贮玉米种植</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永玉3538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河北冀南种业有限公司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河北冀南种业有限公司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晋审玉20220046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海仓528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吉林省正达种业有限责任公司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丹东农业科学院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辽审玉20200044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NM198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内蒙古蒙新农种业有限责任公司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内蒙古蒙新农种业有限责任公司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蒙审玉2022082号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高感禾谷镰孢穗腐病，高感丝黑穗病，感大斑病，感瘤黑粉病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金园32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吉林省金园种苗有限公司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宁夏金正丰农业科技有限公司、吉林省金园种苗有限公司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宁审玉2022L038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金园66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吉林省金园种苗有限公司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宁夏金正丰农业科技有限公司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宁审玉2022L039</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89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C1563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中种国际种子有限公司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中国种子集团有限公司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蒙审玉2016010号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聚粮985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甘肃金西北种业科技有限公司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辽宁宸玉种业科技有限公司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辽审玉20210116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辉玉808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山西辉玉农业科技有限公司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山西辉玉农业科技有限公司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晋审玉20230043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瑞丰99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甘肃亚盛种业黄羊河有限责任公司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山西瑞德丰种业有限公司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晋审玉20230066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贺丰6号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宁夏贺丰种业有限公司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宁夏贺丰种业有限公司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宁审玉2021L017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新丹125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张掖市金种源种业有限责任公司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辽宁辽丹种业科技有限公司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新审玉2022年138号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感腐霉茎腐病，感禾谷镰孢穗腐病，感丝黑穗病，感大斑病，高感瘤黑粉病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九单182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甘肃酒玉种业有限公司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吉林市农业科学院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吉审玉20200116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陕单653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榆林市大根现代农业开发有限责任公司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西北农林科技大学</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陕审玉2018024号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感腐霉茎腐病，感禾谷镰孢穗腐病，高感黑穗病，感大斑病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天农九</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抚顺天农种业有限公司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抚顺天农种业有限公司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蒙认玉2011021号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98</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HX199</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吉林省宏兴种业有限公司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吉林省宏兴种业有限公司 嘉峪关市盛苑农业有限责任公司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吉审玉20220082</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99</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中兴1号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吉林省宏兴种业有限公司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吉林省天沃农业科技开发有限公司 吉林宏兴高科农业有限公司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吉审玉20230120</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100</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科沃9106</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垦丰科沃施种业有限公司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KWS SAAT SE &amp; Co. KGaA</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蒙审玉2017054号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101</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科沃0922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垦丰科沃施种业有限公司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KWS SAAT SE &amp; Co. KGaA</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吉审玉20230015</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102</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松玉638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吉审玉20210053</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103</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松玉309</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吉审玉20200059</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松玉905</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吉审玉20210060</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hint="default" w:ascii="Times New Roman" w:hAnsi="Times New Roman" w:eastAsia="仿宋" w:cs="Times New Roman"/>
                <w:color w:val="auto"/>
                <w:sz w:val="24"/>
                <w:szCs w:val="24"/>
                <w:lang w:bidi="ar"/>
              </w:rPr>
              <w:t>105</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松玉405</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吉审玉20200066</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106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松玉979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吉林市松花江种业有限责任公司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吉林市博泰农业科技有限公司 延边宏大农业发展服务有限公司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吉审玉20210183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107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联农106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内蒙古联农种业有限公司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内蒙古联农种业有限公司 乌兰浩特市天禾种子经销处</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蒙审玉2023023号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108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JKY851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山西中农赛博种业股份有限公司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北京市农林科学院玉米研究所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晋审玉20220002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109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德美亚3号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垦丰科沃施种业有限公司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北大荒垦丰种业股份有限公司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黑审玉2013022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东玉2号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山西泰昌盛种业有限公司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山西泰昌盛种业有限公司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晋审玉20230025</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DY001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山西泰昌盛种业有限公司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山西泰昌盛种业有限公司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晋审玉20230028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黑甜糯631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北京华耐农业发展有限公司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山西省农业科学院高粱研究所</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晋审玉20170045</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甘肃省鲜食玉米类型区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津糯111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天津中天润农科技有限公司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天津农学院农学与资源环境学院 天津中天润农科技有限公司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津审玉20220007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甘肃省鲜食玉米类型区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润糯175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天津中天润农科技有限公司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天津中天润农科技有限公司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津审玉20220006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甘肃省鲜食玉米类型区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甘鑫58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武威甘鑫物种有限公司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武威甘鑫物种有限公司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宁审玉20220024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凌科516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杨凌国瑞农业科技有限公司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杨凌国瑞农业科技有限公司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陕审玉20230005号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庆单6号</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武威金苹果农业股份有限公司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大庆市庆发种业有限责任公司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黑审玉2007020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DF816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山西大丰种业有限公司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山西大丰种业有限公司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晋审玉20226006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119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启单1804</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山西大丰种业有限公司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周学敏</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吉审玉20220010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龙源168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北京垦丰龙源种业科技有限公司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北京垦丰龙源种业科技有限公司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冀审玉20180052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鑫丰盛9909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忻州市富玉农业科技有限公司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晋审玉20210013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感禾谷镰孢穗腐病，感丝黑穗病，感大斑病，高感瘤黑粉病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东科2183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辽审玉20236002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123</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东科308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辽审玉20186015</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高感腐霉茎腐病，感丝黑穗病，高感大斑病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东单3000</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辽审玉20236001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125</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富友2000</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辽宁东亚种业有限公司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辽审玉20236003</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126</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金昊198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宁审玉20220007</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127</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昊玉702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宁审玉20220012</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128</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昊玉501</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宁审玉20220014</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甘肃省作春播青贮玉米种植</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129</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昊玉551</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宁夏昊玉种业有限公司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宁审玉20220006</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130</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秋乐368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河南秋乐种业科技股份有限公司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河南秋乐种业科技股份有限公司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蒙审玉2017004号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131</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西蒙2150</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内蒙古西蒙种业有限公司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内蒙古西蒙种业有限公司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蒙审玉2022007号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甘肃省极早熟春玉米类型区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132</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金科玉3312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榆林市金日种业有限责任公司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榆林市金日种业有限责任公司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陕审玉2019036号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133</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金科玉3号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榆林市金日种业有限责任公司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榆林市金日种业有限责任公司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陕审玉20210020号</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134</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锐玉107</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山西太育种业有限公司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山西太育种业有限公司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晋审玉20230064</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135</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红禾922</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宁审玉20220010</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136</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红禾青贮1188</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宁审玉20220011</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甘肃省作春播青贮玉米种植</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4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137</w:t>
            </w:r>
          </w:p>
        </w:tc>
        <w:tc>
          <w:tcPr>
            <w:tcW w:w="713" w:type="dxa"/>
            <w:vAlign w:val="center"/>
          </w:tcPr>
          <w:p>
            <w:pPr>
              <w:widowControl/>
              <w:spacing w:line="44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祺玉10号</w:t>
            </w:r>
          </w:p>
        </w:tc>
        <w:tc>
          <w:tcPr>
            <w:tcW w:w="2938"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2936"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宁夏红禾种子有限公司</w:t>
            </w:r>
          </w:p>
        </w:tc>
        <w:tc>
          <w:tcPr>
            <w:tcW w:w="1500" w:type="dxa"/>
            <w:vAlign w:val="center"/>
          </w:tcPr>
          <w:p>
            <w:pPr>
              <w:widowControl/>
              <w:spacing w:line="44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宁审玉20220005</w:t>
            </w:r>
          </w:p>
        </w:tc>
        <w:tc>
          <w:tcPr>
            <w:tcW w:w="2785"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4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中作612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四川六禾汇种业有限公司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沈阳东裕种业有限公司 内蒙古中作农业科技有限责任公司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辽审玉20220060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139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冀农367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四川六禾汇种业有限公司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河北冀农种业有限责任公司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冀审玉20208010</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青卓688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山西君实种业科技有限公司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山西青卓玉米种子研究所 山西君实种业科技有限公司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晋审玉20200007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君实211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山西君实种业科技有限公司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山西君实种业科技有限公司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晋审玉20210016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感腐霉茎腐病，感禾谷镰孢穗腐病，感黑穗病，感大斑病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峰单196</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蒙审玉2022073号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感禾谷镰孢穗腐病，高感丝黑穗病，感大斑病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143</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蒙龙213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内蒙古蒙龙种业科技有限公司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蒙审玉2022063号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感丝黑穗病，感大斑病，感瘤黑粉病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144</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球爆12935</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北京开心格林农业科技有限公司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W.O.Zangger&amp;Son，Inc</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吉审玉20210048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甘肃省爆裂玉米区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高感腐霉茎腐病，高感丝黑穗病，感瘤黑粉病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145</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NK1002</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营口市佳昌种子有限公司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辽宁中科正高农业科技有限公司、辽宁钰硕种业有限公司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辽审玉20230026</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spacing w:line="400" w:lineRule="exact"/>
              <w:jc w:val="center"/>
              <w:rPr>
                <w:rFonts w:hint="eastAsia" w:ascii="黑体" w:hAnsi="黑体" w:eastAsia="黑体"/>
                <w:sz w:val="24"/>
              </w:rPr>
            </w:pPr>
            <w:r>
              <w:rPr>
                <w:rFonts w:hint="eastAsia" w:ascii="黑体" w:hAnsi="黑体" w:eastAsia="黑体"/>
                <w:sz w:val="24"/>
              </w:rPr>
              <w:t>序号</w:t>
            </w:r>
          </w:p>
        </w:tc>
        <w:tc>
          <w:tcPr>
            <w:tcW w:w="713" w:type="dxa"/>
            <w:vAlign w:val="center"/>
          </w:tcPr>
          <w:p>
            <w:pPr>
              <w:spacing w:line="400" w:lineRule="exact"/>
              <w:jc w:val="center"/>
              <w:rPr>
                <w:rFonts w:hint="eastAsia" w:ascii="黑体" w:hAnsi="黑体" w:eastAsia="黑体"/>
                <w:sz w:val="24"/>
              </w:rPr>
            </w:pPr>
            <w:r>
              <w:rPr>
                <w:rFonts w:hint="eastAsia" w:ascii="黑体" w:hAnsi="黑体" w:eastAsia="黑体"/>
                <w:sz w:val="24"/>
              </w:rPr>
              <w:t>作物</w:t>
            </w:r>
          </w:p>
        </w:tc>
        <w:tc>
          <w:tcPr>
            <w:tcW w:w="1197" w:type="dxa"/>
            <w:vAlign w:val="center"/>
          </w:tcPr>
          <w:p>
            <w:pPr>
              <w:spacing w:line="400" w:lineRule="exact"/>
              <w:jc w:val="center"/>
              <w:rPr>
                <w:rFonts w:hint="eastAsia" w:ascii="黑体" w:hAnsi="黑体" w:eastAsia="黑体"/>
                <w:sz w:val="24"/>
              </w:rPr>
            </w:pPr>
            <w:r>
              <w:rPr>
                <w:rFonts w:hint="eastAsia" w:ascii="黑体" w:hAnsi="黑体" w:eastAsia="黑体"/>
                <w:sz w:val="24"/>
              </w:rPr>
              <w:t>品种名称</w:t>
            </w:r>
          </w:p>
        </w:tc>
        <w:tc>
          <w:tcPr>
            <w:tcW w:w="2938" w:type="dxa"/>
            <w:vAlign w:val="center"/>
          </w:tcPr>
          <w:p>
            <w:pPr>
              <w:spacing w:line="400" w:lineRule="exact"/>
              <w:jc w:val="center"/>
              <w:rPr>
                <w:rFonts w:hint="eastAsia" w:ascii="黑体" w:hAnsi="黑体" w:eastAsia="黑体"/>
                <w:sz w:val="24"/>
              </w:rPr>
            </w:pPr>
            <w:r>
              <w:rPr>
                <w:rFonts w:hint="eastAsia" w:ascii="黑体" w:hAnsi="黑体" w:eastAsia="黑体"/>
                <w:sz w:val="24"/>
              </w:rPr>
              <w:t>引种单位</w:t>
            </w:r>
          </w:p>
        </w:tc>
        <w:tc>
          <w:tcPr>
            <w:tcW w:w="2936" w:type="dxa"/>
            <w:vAlign w:val="center"/>
          </w:tcPr>
          <w:p>
            <w:pPr>
              <w:spacing w:line="400" w:lineRule="exact"/>
              <w:jc w:val="center"/>
              <w:rPr>
                <w:rFonts w:hint="eastAsia" w:ascii="黑体" w:hAnsi="黑体" w:eastAsia="黑体"/>
                <w:sz w:val="24"/>
              </w:rPr>
            </w:pPr>
            <w:r>
              <w:rPr>
                <w:rFonts w:hint="eastAsia" w:ascii="黑体" w:hAnsi="黑体" w:eastAsia="黑体"/>
                <w:sz w:val="24"/>
              </w:rPr>
              <w:t>育种者</w:t>
            </w:r>
          </w:p>
        </w:tc>
        <w:tc>
          <w:tcPr>
            <w:tcW w:w="1500" w:type="dxa"/>
            <w:vAlign w:val="center"/>
          </w:tcPr>
          <w:p>
            <w:pPr>
              <w:spacing w:line="400" w:lineRule="exact"/>
              <w:jc w:val="center"/>
              <w:rPr>
                <w:rFonts w:hint="eastAsia" w:ascii="黑体" w:hAnsi="黑体" w:eastAsia="黑体"/>
                <w:sz w:val="24"/>
              </w:rPr>
            </w:pPr>
            <w:r>
              <w:rPr>
                <w:rFonts w:hint="eastAsia" w:ascii="黑体" w:hAnsi="黑体" w:eastAsia="黑体"/>
                <w:sz w:val="24"/>
              </w:rPr>
              <w:t>审定编号</w:t>
            </w:r>
          </w:p>
        </w:tc>
        <w:tc>
          <w:tcPr>
            <w:tcW w:w="2785" w:type="dxa"/>
            <w:vAlign w:val="center"/>
          </w:tcPr>
          <w:p>
            <w:pPr>
              <w:spacing w:line="400" w:lineRule="exact"/>
              <w:jc w:val="center"/>
              <w:rPr>
                <w:rFonts w:hint="eastAsia" w:ascii="黑体" w:hAnsi="黑体" w:eastAsia="黑体"/>
                <w:sz w:val="24"/>
              </w:rPr>
            </w:pPr>
            <w:r>
              <w:rPr>
                <w:rFonts w:hint="eastAsia" w:ascii="黑体" w:hAnsi="黑体" w:eastAsia="黑体"/>
                <w:sz w:val="24"/>
              </w:rPr>
              <w:t>引种适宜种植区域</w:t>
            </w:r>
          </w:p>
        </w:tc>
        <w:tc>
          <w:tcPr>
            <w:tcW w:w="2514" w:type="dxa"/>
            <w:vAlign w:val="center"/>
          </w:tcPr>
          <w:p>
            <w:pPr>
              <w:spacing w:line="400" w:lineRule="exact"/>
              <w:jc w:val="center"/>
              <w:rPr>
                <w:rFonts w:hint="eastAsia" w:ascii="黑体" w:hAnsi="黑体" w:eastAsia="黑体"/>
                <w:sz w:val="24"/>
              </w:rPr>
            </w:pPr>
            <w:r>
              <w:rPr>
                <w:rFonts w:hint="eastAsia" w:ascii="黑体" w:hAnsi="黑体" w:eastAsia="黑体"/>
                <w:sz w:val="24"/>
              </w:rPr>
              <w:t>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146</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同丰171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营口市佳昌种子有限公司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北京中农同丰农业科技有限公司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晋审玉20220034</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147</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抚玉21</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营口市佳昌种子有限公司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抚顺市农业科学研究院</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辽审玉20190003</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148</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禾盛昌5578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营口市佳昌种子有限公司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大石桥市铭松农作物研发中心</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辽审玉20210162</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149</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福盛园588</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山西福盛园科技发展有限公司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山西福盛园科技发展有限公司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宁审玉20220028</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150</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福盛777</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山西福盛园科技发展有限公司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山西福盛园科技发展有限公司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晋审玉20220037</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151</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强盛219</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山西强盛种业有限公司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山西强盛种业有限公司</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陕审玉20220016号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甘肃省中晚熟春玉米类型区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712" w:type="dxa"/>
            <w:vAlign w:val="center"/>
          </w:tcPr>
          <w:p>
            <w:pPr>
              <w:widowControl/>
              <w:spacing w:line="400" w:lineRule="exact"/>
              <w:jc w:val="center"/>
              <w:textAlignment w:val="center"/>
              <w:rPr>
                <w:rFonts w:eastAsia="仿宋"/>
                <w:sz w:val="24"/>
                <w:lang w:bidi="ar"/>
              </w:rPr>
            </w:pPr>
            <w:r>
              <w:rPr>
                <w:rStyle w:val="7"/>
                <w:rFonts w:ascii="Times New Roman" w:hAnsi="Times New Roman" w:eastAsia="仿宋" w:cs="Times New Roman"/>
                <w:color w:val="auto"/>
                <w:sz w:val="24"/>
                <w:szCs w:val="24"/>
                <w:lang w:bidi="ar"/>
              </w:rPr>
              <w:t>152</w:t>
            </w:r>
          </w:p>
        </w:tc>
        <w:tc>
          <w:tcPr>
            <w:tcW w:w="713" w:type="dxa"/>
            <w:vAlign w:val="center"/>
          </w:tcPr>
          <w:p>
            <w:pPr>
              <w:widowControl/>
              <w:spacing w:line="400" w:lineRule="exact"/>
              <w:jc w:val="center"/>
              <w:textAlignment w:val="center"/>
              <w:rPr>
                <w:rFonts w:hint="eastAsia" w:ascii="仿宋" w:hAnsi="仿宋" w:eastAsia="仿宋" w:cs="仿宋"/>
                <w:sz w:val="24"/>
              </w:rPr>
            </w:pPr>
            <w:r>
              <w:rPr>
                <w:rFonts w:hint="eastAsia" w:ascii="仿宋" w:hAnsi="仿宋" w:eastAsia="仿宋" w:cs="仿宋"/>
                <w:kern w:val="0"/>
                <w:sz w:val="24"/>
                <w:lang w:bidi="ar"/>
              </w:rPr>
              <w:t>玉米</w:t>
            </w:r>
          </w:p>
        </w:tc>
        <w:tc>
          <w:tcPr>
            <w:tcW w:w="1197"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GD1903</w:t>
            </w:r>
          </w:p>
        </w:tc>
        <w:tc>
          <w:tcPr>
            <w:tcW w:w="2938"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酒泉欣地农业科技有限公司</w:t>
            </w:r>
          </w:p>
        </w:tc>
        <w:tc>
          <w:tcPr>
            <w:tcW w:w="2936"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内蒙古国栋农业科学研究院 北京裕登天华农业科技发展中心</w:t>
            </w:r>
          </w:p>
        </w:tc>
        <w:tc>
          <w:tcPr>
            <w:tcW w:w="1500" w:type="dxa"/>
            <w:vAlign w:val="center"/>
          </w:tcPr>
          <w:p>
            <w:pPr>
              <w:widowControl/>
              <w:spacing w:line="4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蒙审玉2022019号</w:t>
            </w:r>
          </w:p>
        </w:tc>
        <w:tc>
          <w:tcPr>
            <w:tcW w:w="2785"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甘肃省早熟春玉米类型区</w:t>
            </w:r>
          </w:p>
        </w:tc>
        <w:tc>
          <w:tcPr>
            <w:tcW w:w="2514" w:type="dxa"/>
            <w:vAlign w:val="center"/>
          </w:tcPr>
          <w:p>
            <w:pPr>
              <w:widowControl/>
              <w:spacing w:line="4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高感禾谷镰孢穗腐病，感丝黑穗病，感大斑病</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53BF6"/>
    <w:rsid w:val="0EF5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font2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2024-02-04T03:05:00Z</dcterms:created>
  <dc:creator>Administrator</dc:creator>
  <cp:lastModifiedBy>Administrator</cp:lastModifiedBy>
  <dcterms:modified xsi:type="dcterms:W3CDTF">2024-02-04T03:06:53Z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